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E688" w14:textId="77777777" w:rsidR="00364FA2" w:rsidRPr="006602B7" w:rsidRDefault="00364FA2" w:rsidP="00364FA2">
      <w:pPr>
        <w:rPr>
          <w:rStyle w:val="Kraftigfremhvning"/>
        </w:rPr>
      </w:pPr>
    </w:p>
    <w:p w14:paraId="6F85B9E6" w14:textId="2FB20D90" w:rsidR="00364FA2" w:rsidRPr="00152257" w:rsidRDefault="00985EEB" w:rsidP="009F33D7">
      <w:pPr>
        <w:jc w:val="right"/>
        <w:rPr>
          <w:i/>
          <w:iCs/>
        </w:rPr>
      </w:pPr>
      <w:r w:rsidRPr="00152257">
        <w:rPr>
          <w:i/>
          <w:iCs/>
        </w:rPr>
        <w:t>11. november 2025</w:t>
      </w:r>
    </w:p>
    <w:p w14:paraId="7839A2A3" w14:textId="77777777" w:rsidR="00364FA2" w:rsidRDefault="00364FA2" w:rsidP="00364FA2"/>
    <w:p w14:paraId="66E9FC15" w14:textId="4E4F4FE7" w:rsidR="00364FA2" w:rsidRDefault="007619F2" w:rsidP="00F13C75">
      <w:pPr>
        <w:spacing w:after="0"/>
        <w:rPr>
          <w:b/>
          <w:bCs/>
          <w:sz w:val="28"/>
          <w:szCs w:val="28"/>
        </w:rPr>
      </w:pPr>
      <w:r>
        <w:rPr>
          <w:b/>
          <w:bCs/>
          <w:sz w:val="28"/>
          <w:szCs w:val="28"/>
        </w:rPr>
        <w:t>Skabelon til bodelingsaftale</w:t>
      </w:r>
    </w:p>
    <w:p w14:paraId="17C95660" w14:textId="77777777" w:rsidR="00540432" w:rsidRPr="00EA25C5" w:rsidDel="00997418" w:rsidRDefault="00540432" w:rsidP="00F13C75">
      <w:pPr>
        <w:spacing w:after="0"/>
        <w:rPr>
          <w:b/>
          <w:bCs/>
          <w:sz w:val="28"/>
          <w:szCs w:val="28"/>
        </w:rPr>
      </w:pPr>
    </w:p>
    <w:p w14:paraId="529385A3" w14:textId="77777777" w:rsidR="002D1003" w:rsidRDefault="00364FA2" w:rsidP="0049405B">
      <w:pPr>
        <w:spacing w:after="0"/>
        <w:rPr>
          <w:b/>
          <w:bCs/>
        </w:rPr>
      </w:pPr>
      <w:r>
        <w:rPr>
          <w:b/>
          <w:bCs/>
        </w:rPr>
        <w:t xml:space="preserve">1. </w:t>
      </w:r>
      <w:r w:rsidRPr="00364FA2">
        <w:rPr>
          <w:b/>
          <w:bCs/>
        </w:rPr>
        <w:t>Indledning</w:t>
      </w:r>
      <w:bookmarkStart w:id="0" w:name="_Hlk205214934"/>
    </w:p>
    <w:p w14:paraId="5ECF8291" w14:textId="7B7B636E" w:rsidR="008B6138" w:rsidRDefault="00FA62EC" w:rsidP="002305BA">
      <w:pPr>
        <w:spacing w:after="0"/>
      </w:pPr>
      <w:r w:rsidRPr="00FA62EC">
        <w:t xml:space="preserve">Parterne har indgået denne delingsaftale, jf. </w:t>
      </w:r>
      <w:r w:rsidR="00756C99" w:rsidRPr="00FA62EC">
        <w:t>§ 151, stk</w:t>
      </w:r>
      <w:r w:rsidR="00756C99">
        <w:t>.</w:t>
      </w:r>
      <w:r w:rsidR="00756C99" w:rsidRPr="00FA62EC">
        <w:t xml:space="preserve"> 1</w:t>
      </w:r>
      <w:r w:rsidR="00002B01">
        <w:t>,</w:t>
      </w:r>
      <w:r w:rsidR="00756C99">
        <w:t xml:space="preserve"> i </w:t>
      </w:r>
      <w:r w:rsidR="00002B01">
        <w:t>l</w:t>
      </w:r>
      <w:r w:rsidRPr="00FA62EC">
        <w:t>ov om overgangen til en ny sundheds</w:t>
      </w:r>
      <w:r w:rsidR="00180BD0">
        <w:softHyphen/>
      </w:r>
      <w:r w:rsidRPr="00FA62EC">
        <w:t>struktur</w:t>
      </w:r>
      <w:r w:rsidR="00756C99">
        <w:t>,</w:t>
      </w:r>
      <w:r w:rsidR="00002B01">
        <w:t xml:space="preserve"> </w:t>
      </w:r>
      <w:r w:rsidR="005644F7">
        <w:t>samt</w:t>
      </w:r>
      <w:r w:rsidR="00002B01">
        <w:t xml:space="preserve"> </w:t>
      </w:r>
      <w:r w:rsidR="00C84D43">
        <w:t>§ 151, stk. 2</w:t>
      </w:r>
      <w:r w:rsidR="00756C99">
        <w:t xml:space="preserve">, for så vidt angår </w:t>
      </w:r>
      <w:r w:rsidR="007A7B26">
        <w:t xml:space="preserve">det forberedende regionsråd for </w:t>
      </w:r>
      <w:r w:rsidR="00756C99">
        <w:t>Region Østdanmark.</w:t>
      </w:r>
      <w:r w:rsidR="00677EEB">
        <w:t xml:space="preserve"> </w:t>
      </w:r>
      <w:r w:rsidR="00A7647A" w:rsidRPr="00D0594F">
        <w:t>Bekendtgørelse om overgangen til en ny sundhedsstruktur</w:t>
      </w:r>
      <w:r w:rsidR="00A7647A">
        <w:t xml:space="preserve"> fastsætter ligeledes reglerne for delings</w:t>
      </w:r>
      <w:r w:rsidR="001C618F">
        <w:softHyphen/>
      </w:r>
      <w:r w:rsidR="00A7647A">
        <w:t>aftalen.</w:t>
      </w:r>
      <w:r w:rsidR="00A7647A" w:rsidRPr="00C10D6A">
        <w:rPr>
          <w:b/>
          <w:bCs/>
        </w:rPr>
        <w:t xml:space="preserve"> </w:t>
      </w:r>
      <w:r w:rsidRPr="00FA62EC">
        <w:t>Delingsaftalen udmønter således lovens bestemmelser om overførsel af aktiver, passiver, rettigheder, pligter og</w:t>
      </w:r>
      <w:r w:rsidR="006602B7">
        <w:t xml:space="preserve"> </w:t>
      </w:r>
      <w:r w:rsidR="00A24E57">
        <w:t>ansatte</w:t>
      </w:r>
      <w:r w:rsidRPr="00FA62EC">
        <w:t>, der udelukkende eller helt ove</w:t>
      </w:r>
      <w:r w:rsidR="00350877">
        <w:t>r</w:t>
      </w:r>
      <w:r w:rsidRPr="00FA62EC">
        <w:t>vejende er knyttet til løsningen af de opgaver, der den 1. januar 2027 overføres fra den kommunale del af den offentlige sektor til den regionale del af den offentlige sektor</w:t>
      </w:r>
      <w:bookmarkEnd w:id="0"/>
      <w:r w:rsidR="00777A88">
        <w:t>.</w:t>
      </w:r>
      <w:r w:rsidR="002305BA">
        <w:t xml:space="preserve"> Aftalen beskriver også de generelle principper, herunder særlige aftaler og forhold, som parterne er blevet opmærksomme på under forhandlingerne.  </w:t>
      </w:r>
    </w:p>
    <w:p w14:paraId="17B60AD4" w14:textId="2AC43E5C" w:rsidR="00364FA2" w:rsidRPr="00364FA2" w:rsidRDefault="00364FA2" w:rsidP="00F13C75">
      <w:pPr>
        <w:spacing w:after="0"/>
        <w:rPr>
          <w:b/>
          <w:bCs/>
        </w:rPr>
      </w:pPr>
    </w:p>
    <w:p w14:paraId="6C267230" w14:textId="2ACF8FA6" w:rsidR="00364FA2" w:rsidRPr="00364FA2" w:rsidRDefault="00812046" w:rsidP="00F13C75">
      <w:pPr>
        <w:spacing w:after="0"/>
        <w:rPr>
          <w:b/>
          <w:bCs/>
        </w:rPr>
      </w:pPr>
      <w:bookmarkStart w:id="1" w:name="_Hlk210649843"/>
      <w:r>
        <w:rPr>
          <w:b/>
          <w:bCs/>
        </w:rPr>
        <w:t>2</w:t>
      </w:r>
      <w:r w:rsidR="00364FA2" w:rsidRPr="00364FA2">
        <w:rPr>
          <w:b/>
          <w:bCs/>
        </w:rPr>
        <w:t>.</w:t>
      </w:r>
      <w:r w:rsidR="00364FA2">
        <w:rPr>
          <w:b/>
          <w:bCs/>
        </w:rPr>
        <w:t xml:space="preserve"> </w:t>
      </w:r>
      <w:r w:rsidR="00095994">
        <w:rPr>
          <w:b/>
          <w:bCs/>
        </w:rPr>
        <w:t>Anvendte principper (metodisk afgrænsning)</w:t>
      </w:r>
    </w:p>
    <w:p w14:paraId="483DB53A" w14:textId="4EDB7DBA" w:rsidR="00364FA2" w:rsidRDefault="00F13C75" w:rsidP="00F13C75">
      <w:pPr>
        <w:spacing w:after="0"/>
      </w:pPr>
      <w:r w:rsidRPr="00F13C75">
        <w:rPr>
          <w:i/>
          <w:iCs/>
        </w:rPr>
        <w:t>Dette afsnit b</w:t>
      </w:r>
      <w:r w:rsidR="00364FA2" w:rsidRPr="00F13C75">
        <w:rPr>
          <w:i/>
          <w:iCs/>
        </w:rPr>
        <w:t>eskriv</w:t>
      </w:r>
      <w:r w:rsidRPr="00F13C75">
        <w:rPr>
          <w:i/>
          <w:iCs/>
        </w:rPr>
        <w:t xml:space="preserve">er </w:t>
      </w:r>
      <w:r w:rsidR="00364FA2" w:rsidRPr="00F13C75">
        <w:rPr>
          <w:i/>
          <w:iCs/>
        </w:rPr>
        <w:t>de overordnede principper, som er lagt til grund</w:t>
      </w:r>
      <w:r w:rsidR="00095994" w:rsidRPr="00095994">
        <w:rPr>
          <w:i/>
          <w:iCs/>
        </w:rPr>
        <w:t xml:space="preserve"> for identifikation</w:t>
      </w:r>
      <w:r w:rsidR="007F2900">
        <w:rPr>
          <w:i/>
          <w:iCs/>
        </w:rPr>
        <w:t xml:space="preserve"> </w:t>
      </w:r>
      <w:r w:rsidR="00095994" w:rsidRPr="00095994">
        <w:rPr>
          <w:i/>
          <w:iCs/>
        </w:rPr>
        <w:t>af aktiver, passive</w:t>
      </w:r>
      <w:r w:rsidR="008E37BB">
        <w:rPr>
          <w:i/>
          <w:iCs/>
        </w:rPr>
        <w:t>r</w:t>
      </w:r>
      <w:r w:rsidR="00095994" w:rsidRPr="00095994">
        <w:rPr>
          <w:i/>
          <w:iCs/>
        </w:rPr>
        <w:t xml:space="preserve">, </w:t>
      </w:r>
      <w:r w:rsidR="008E37BB">
        <w:rPr>
          <w:i/>
          <w:iCs/>
        </w:rPr>
        <w:t>rettigheder</w:t>
      </w:r>
      <w:r w:rsidR="005C0C7E">
        <w:rPr>
          <w:i/>
          <w:iCs/>
        </w:rPr>
        <w:t xml:space="preserve">, </w:t>
      </w:r>
      <w:r w:rsidR="00095994" w:rsidRPr="00095994">
        <w:rPr>
          <w:i/>
          <w:iCs/>
        </w:rPr>
        <w:t>pligter og ansatte der overføres</w:t>
      </w:r>
      <w:r w:rsidRPr="00F13C75">
        <w:rPr>
          <w:i/>
          <w:iCs/>
        </w:rPr>
        <w:t xml:space="preserve">, herunder: </w:t>
      </w:r>
    </w:p>
    <w:p w14:paraId="2ADB1D1F" w14:textId="2EBA4E1B" w:rsidR="00181BBE" w:rsidRDefault="00364FA2" w:rsidP="00181BBE">
      <w:pPr>
        <w:pStyle w:val="Listeafsnit"/>
        <w:numPr>
          <w:ilvl w:val="0"/>
          <w:numId w:val="2"/>
        </w:numPr>
        <w:spacing w:after="0"/>
        <w:rPr>
          <w:i/>
          <w:iCs/>
        </w:rPr>
      </w:pPr>
      <w:r w:rsidRPr="00F13C75">
        <w:rPr>
          <w:i/>
          <w:iCs/>
        </w:rPr>
        <w:t xml:space="preserve">Principper </w:t>
      </w:r>
      <w:r w:rsidR="00F13C75">
        <w:rPr>
          <w:i/>
          <w:iCs/>
        </w:rPr>
        <w:t xml:space="preserve">og metode </w:t>
      </w:r>
      <w:r w:rsidRPr="00F13C75">
        <w:rPr>
          <w:i/>
          <w:iCs/>
        </w:rPr>
        <w:t>for identifikation</w:t>
      </w:r>
      <w:r w:rsidR="00A24E57">
        <w:rPr>
          <w:i/>
          <w:iCs/>
        </w:rPr>
        <w:t xml:space="preserve"> og</w:t>
      </w:r>
      <w:r w:rsidR="00181BBE" w:rsidRPr="00F13C75">
        <w:rPr>
          <w:i/>
          <w:iCs/>
        </w:rPr>
        <w:t>, værdiansættelse</w:t>
      </w:r>
      <w:r w:rsidRPr="00F13C75">
        <w:rPr>
          <w:i/>
          <w:iCs/>
        </w:rPr>
        <w:t xml:space="preserve"> af </w:t>
      </w:r>
      <w:r w:rsidR="00181BBE" w:rsidRPr="00F13C75">
        <w:rPr>
          <w:i/>
          <w:iCs/>
        </w:rPr>
        <w:t>aktiver og passiver, rettigheder og forpligtelser.</w:t>
      </w:r>
    </w:p>
    <w:p w14:paraId="5619EB01" w14:textId="3CECBC9F" w:rsidR="00181BBE" w:rsidRPr="00F13C75" w:rsidRDefault="00181BBE" w:rsidP="00181BBE">
      <w:pPr>
        <w:pStyle w:val="Listeafsnit"/>
        <w:numPr>
          <w:ilvl w:val="0"/>
          <w:numId w:val="2"/>
        </w:numPr>
        <w:spacing w:after="0"/>
        <w:rPr>
          <w:i/>
          <w:iCs/>
        </w:rPr>
      </w:pPr>
      <w:r>
        <w:rPr>
          <w:i/>
          <w:iCs/>
        </w:rPr>
        <w:t>Principper og metode for overdragelse ved fortsat kommunal drift</w:t>
      </w:r>
    </w:p>
    <w:p w14:paraId="78C38218" w14:textId="3BE72069" w:rsidR="00364FA2" w:rsidRPr="00F13C75" w:rsidRDefault="00364FA2" w:rsidP="00F13C75">
      <w:pPr>
        <w:pStyle w:val="Listeafsnit"/>
        <w:numPr>
          <w:ilvl w:val="0"/>
          <w:numId w:val="2"/>
        </w:numPr>
        <w:spacing w:after="0"/>
        <w:rPr>
          <w:i/>
          <w:iCs/>
        </w:rPr>
      </w:pPr>
      <w:r w:rsidRPr="00F13C75">
        <w:rPr>
          <w:i/>
          <w:iCs/>
        </w:rPr>
        <w:t xml:space="preserve">Principper </w:t>
      </w:r>
      <w:r w:rsidR="00F13C75">
        <w:rPr>
          <w:i/>
          <w:iCs/>
        </w:rPr>
        <w:t xml:space="preserve">og metode </w:t>
      </w:r>
      <w:r w:rsidRPr="00F13C75">
        <w:rPr>
          <w:i/>
          <w:iCs/>
        </w:rPr>
        <w:t>for identifikation af medarbejdere.</w:t>
      </w:r>
    </w:p>
    <w:p w14:paraId="14A955AA" w14:textId="36F3250F" w:rsidR="00F13C75" w:rsidRDefault="00364FA2" w:rsidP="00F13C75">
      <w:pPr>
        <w:pStyle w:val="Listeafsnit"/>
        <w:numPr>
          <w:ilvl w:val="0"/>
          <w:numId w:val="2"/>
        </w:numPr>
        <w:spacing w:after="0"/>
        <w:rPr>
          <w:i/>
          <w:iCs/>
        </w:rPr>
      </w:pPr>
      <w:r w:rsidRPr="00F13C75">
        <w:rPr>
          <w:i/>
          <w:iCs/>
        </w:rPr>
        <w:t>Øvrige forhold</w:t>
      </w:r>
    </w:p>
    <w:p w14:paraId="359E7996" w14:textId="77777777" w:rsidR="0014287B" w:rsidRDefault="0014287B" w:rsidP="0014287B">
      <w:pPr>
        <w:spacing w:after="0"/>
        <w:rPr>
          <w:i/>
          <w:iCs/>
        </w:rPr>
      </w:pPr>
    </w:p>
    <w:p w14:paraId="731305F2" w14:textId="40293171" w:rsidR="0014287B" w:rsidRPr="00426856" w:rsidRDefault="00BB1757" w:rsidP="0027340E">
      <w:pPr>
        <w:spacing w:after="0"/>
      </w:pPr>
      <w:bookmarkStart w:id="2" w:name="_Hlk210644351"/>
      <w:r w:rsidRPr="00BB1757">
        <w:t>Definition af opgaverne, der er omfattet af myndighedsflyttet, tager udgangspunkt i</w:t>
      </w:r>
      <w:r w:rsidR="00B67CB7">
        <w:t xml:space="preserve"> </w:t>
      </w:r>
      <w:r w:rsidRPr="00BB1757">
        <w:t>Sundheds</w:t>
      </w:r>
      <w:r w:rsidR="00B67CB7">
        <w:softHyphen/>
      </w:r>
      <w:r w:rsidRPr="00BB1757">
        <w:t>styrelsens snitfladenotater</w:t>
      </w:r>
      <w:r w:rsidR="00C439BD">
        <w:t xml:space="preserve"> samt lovbemærkningerne til overgangsloven og Forårsaftalen 2025</w:t>
      </w:r>
      <w:r w:rsidRPr="00BB1757">
        <w:t xml:space="preserve">. Der er dog efterfølgende aftalt en præcisering, idet der er enighed mellem parterne om, at kommunerne </w:t>
      </w:r>
      <w:r w:rsidR="008C5702">
        <w:t xml:space="preserve">fortsat kan tilbyde </w:t>
      </w:r>
      <w:r w:rsidRPr="00BB1757">
        <w:t xml:space="preserve">borgerrettet forebyggelse </w:t>
      </w:r>
      <w:r w:rsidR="008C5702">
        <w:t>i form af indsatser vedrørende</w:t>
      </w:r>
      <w:r w:rsidRPr="00BB1757">
        <w:t xml:space="preserve"> mental trivsel fx stress samt lettere angst og depression mhp. at forebygge forværring. Egentlig behandling af borgere med en diagnose fastholdes som regionalt ansvar. Hermed er der tale om en præcisering i forhold til opgavesnittet, der beskrives i Sundhedsstyrelsens faglige oplæg</w:t>
      </w:r>
      <w:r w:rsidR="0027340E">
        <w:t xml:space="preserve">. </w:t>
      </w:r>
      <w:hyperlink r:id="rId11" w:history="1">
        <w:r w:rsidR="00EF46C5">
          <w:rPr>
            <w:rStyle w:val="Hyperlink"/>
          </w:rPr>
          <w:t>Afgrænsning af sundhedsopgaver, hvor ansvaret flyttes fra kommuner til regioner fra 2027 | Sundhedsstyrelsen</w:t>
        </w:r>
      </w:hyperlink>
    </w:p>
    <w:bookmarkEnd w:id="2"/>
    <w:p w14:paraId="3CD347D9" w14:textId="77777777" w:rsidR="006602B7" w:rsidRDefault="006602B7" w:rsidP="000F7AA7">
      <w:pPr>
        <w:spacing w:after="0"/>
      </w:pPr>
    </w:p>
    <w:p w14:paraId="2C8E9FED" w14:textId="5AC9DA42" w:rsidR="000F7AA7" w:rsidRDefault="00AA0DD6" w:rsidP="000F7AA7">
      <w:pPr>
        <w:spacing w:after="0"/>
      </w:pPr>
      <w:r>
        <w:t>Hvis det skønnes hensigtsmæssigt, kan aftaleudkastets afsnit 3,</w:t>
      </w:r>
      <w:r w:rsidR="00B2650E">
        <w:t xml:space="preserve"> </w:t>
      </w:r>
      <w:r>
        <w:t xml:space="preserve">4 og 5 opdeles </w:t>
      </w:r>
      <w:r w:rsidR="00B2650E">
        <w:t>ud fra</w:t>
      </w:r>
      <w:r>
        <w:t xml:space="preserve"> de </w:t>
      </w:r>
      <w:r w:rsidR="00C439BD">
        <w:t xml:space="preserve">fire </w:t>
      </w:r>
      <w:r>
        <w:t>opgaver, der overgår til regionen</w:t>
      </w:r>
      <w:r w:rsidR="00F4702C">
        <w:t>,</w:t>
      </w:r>
      <w:r>
        <w:t xml:space="preserve"> </w:t>
      </w:r>
      <w:r w:rsidR="00ED7658">
        <w:t>jf. bilag 4 i Forårsaftalen 2025.</w:t>
      </w:r>
    </w:p>
    <w:bookmarkEnd w:id="1"/>
    <w:p w14:paraId="5E8868E1" w14:textId="77777777" w:rsidR="00364FA2" w:rsidRDefault="00364FA2" w:rsidP="002D1003">
      <w:pPr>
        <w:spacing w:after="0"/>
      </w:pPr>
    </w:p>
    <w:p w14:paraId="32CF1F02" w14:textId="79CF8854" w:rsidR="00364FA2" w:rsidRPr="00364FA2" w:rsidRDefault="00364FA2" w:rsidP="002D1003">
      <w:pPr>
        <w:spacing w:after="0"/>
        <w:rPr>
          <w:b/>
          <w:bCs/>
        </w:rPr>
      </w:pPr>
      <w:r>
        <w:t xml:space="preserve"> </w:t>
      </w:r>
      <w:r w:rsidR="00812046">
        <w:rPr>
          <w:b/>
          <w:bCs/>
        </w:rPr>
        <w:t>3</w:t>
      </w:r>
      <w:r w:rsidRPr="00364FA2">
        <w:rPr>
          <w:b/>
          <w:bCs/>
        </w:rPr>
        <w:t>.</w:t>
      </w:r>
      <w:r w:rsidR="00AE6CDF">
        <w:rPr>
          <w:b/>
          <w:bCs/>
        </w:rPr>
        <w:t xml:space="preserve"> </w:t>
      </w:r>
      <w:r w:rsidRPr="00364FA2">
        <w:rPr>
          <w:b/>
          <w:bCs/>
        </w:rPr>
        <w:t>Aktiver</w:t>
      </w:r>
      <w:r w:rsidR="009C398D">
        <w:rPr>
          <w:b/>
          <w:bCs/>
        </w:rPr>
        <w:t xml:space="preserve"> og</w:t>
      </w:r>
      <w:r w:rsidRPr="00364FA2">
        <w:rPr>
          <w:b/>
          <w:bCs/>
        </w:rPr>
        <w:t xml:space="preserve"> passiver </w:t>
      </w:r>
    </w:p>
    <w:p w14:paraId="4EE54D8B" w14:textId="3B57C0C9" w:rsidR="00364FA2" w:rsidRDefault="00C37FA0" w:rsidP="002D1003">
      <w:pPr>
        <w:spacing w:after="0"/>
        <w:rPr>
          <w:i/>
          <w:iCs/>
        </w:rPr>
      </w:pPr>
      <w:r w:rsidRPr="00C37FA0">
        <w:rPr>
          <w:i/>
          <w:iCs/>
        </w:rPr>
        <w:t>Dette afsnit skal indeholde en o</w:t>
      </w:r>
      <w:r w:rsidR="00364FA2" w:rsidRPr="00C37FA0">
        <w:rPr>
          <w:i/>
          <w:iCs/>
        </w:rPr>
        <w:t>versigt over aktiver og passiver der overdrages</w:t>
      </w:r>
      <w:r w:rsidRPr="00C37FA0">
        <w:rPr>
          <w:i/>
          <w:iCs/>
        </w:rPr>
        <w:t xml:space="preserve"> (</w:t>
      </w:r>
      <w:r w:rsidR="00EC40AC">
        <w:rPr>
          <w:i/>
          <w:iCs/>
        </w:rPr>
        <w:t xml:space="preserve">specifikationer af de enkelte </w:t>
      </w:r>
      <w:r w:rsidR="003B325B">
        <w:rPr>
          <w:i/>
          <w:iCs/>
        </w:rPr>
        <w:t>poster kan udspecifi</w:t>
      </w:r>
      <w:r w:rsidR="009D4C70">
        <w:rPr>
          <w:i/>
          <w:iCs/>
        </w:rPr>
        <w:t>ceres i bilag, hvis der er mange delposter</w:t>
      </w:r>
      <w:r w:rsidRPr="00C37FA0">
        <w:rPr>
          <w:i/>
          <w:iCs/>
        </w:rPr>
        <w:t>)</w:t>
      </w:r>
      <w:r w:rsidR="00B74D03">
        <w:rPr>
          <w:i/>
          <w:iCs/>
        </w:rPr>
        <w:t xml:space="preserve">. </w:t>
      </w:r>
    </w:p>
    <w:p w14:paraId="7A971539" w14:textId="77777777" w:rsidR="009C456D" w:rsidRDefault="009C456D" w:rsidP="002D1003">
      <w:pPr>
        <w:spacing w:after="0"/>
        <w:rPr>
          <w:i/>
          <w:iCs/>
        </w:rPr>
      </w:pPr>
    </w:p>
    <w:p w14:paraId="785B16B7" w14:textId="04D58233" w:rsidR="009C456D" w:rsidRDefault="009C456D" w:rsidP="009C456D">
      <w:pPr>
        <w:spacing w:after="0"/>
        <w:rPr>
          <w:i/>
          <w:iCs/>
        </w:rPr>
      </w:pPr>
      <w:r>
        <w:rPr>
          <w:i/>
          <w:iCs/>
        </w:rPr>
        <w:t xml:space="preserve">Det omfatter </w:t>
      </w:r>
      <w:r w:rsidRPr="002D1003">
        <w:rPr>
          <w:i/>
          <w:iCs/>
        </w:rPr>
        <w:t>samtlige</w:t>
      </w:r>
      <w:r>
        <w:rPr>
          <w:i/>
          <w:iCs/>
        </w:rPr>
        <w:t xml:space="preserve"> aktiver og passiver</w:t>
      </w:r>
      <w:r w:rsidRPr="002D1003">
        <w:rPr>
          <w:i/>
          <w:iCs/>
        </w:rPr>
        <w:t xml:space="preserve">, </w:t>
      </w:r>
      <w:r w:rsidR="003B2911">
        <w:rPr>
          <w:i/>
          <w:iCs/>
        </w:rPr>
        <w:t>der</w:t>
      </w:r>
      <w:r w:rsidR="00A24E57">
        <w:rPr>
          <w:i/>
          <w:iCs/>
        </w:rPr>
        <w:t xml:space="preserve"> er tilknyttet </w:t>
      </w:r>
      <w:r w:rsidRPr="002D1003">
        <w:rPr>
          <w:i/>
          <w:iCs/>
        </w:rPr>
        <w:t xml:space="preserve">den kommune, hvorfra opgaven overføres. Det vil gælde uanset karakter, retsgrundlag og stiftelsestidspunkt </w:t>
      </w:r>
      <w:r>
        <w:rPr>
          <w:i/>
          <w:iCs/>
        </w:rPr>
        <w:t xml:space="preserve">samt </w:t>
      </w:r>
      <w:r w:rsidRPr="002D1003">
        <w:rPr>
          <w:i/>
          <w:iCs/>
        </w:rPr>
        <w:t xml:space="preserve">omfatte </w:t>
      </w:r>
      <w:r>
        <w:rPr>
          <w:i/>
          <w:iCs/>
        </w:rPr>
        <w:t xml:space="preserve">aktiver og passiver </w:t>
      </w:r>
      <w:r w:rsidRPr="002D1003">
        <w:rPr>
          <w:i/>
          <w:iCs/>
        </w:rPr>
        <w:t>indgået på såvel offentligretligt som privatretligt grundlag.</w:t>
      </w:r>
      <w:r>
        <w:rPr>
          <w:i/>
          <w:iCs/>
        </w:rPr>
        <w:t xml:space="preserve"> </w:t>
      </w:r>
      <w:r w:rsidRPr="002D1003">
        <w:rPr>
          <w:i/>
          <w:iCs/>
        </w:rPr>
        <w:t xml:space="preserve">Kommunen, der udarbejder aftaleudkast, vil skulle </w:t>
      </w:r>
      <w:r w:rsidR="00A24E57">
        <w:rPr>
          <w:i/>
          <w:iCs/>
        </w:rPr>
        <w:t xml:space="preserve">foretage </w:t>
      </w:r>
      <w:r w:rsidR="00E86658">
        <w:rPr>
          <w:i/>
          <w:iCs/>
        </w:rPr>
        <w:t xml:space="preserve">de nødvendige undersøgelser med henblik på at </w:t>
      </w:r>
      <w:r w:rsidR="00B24382">
        <w:rPr>
          <w:i/>
          <w:iCs/>
        </w:rPr>
        <w:t>identificere</w:t>
      </w:r>
      <w:r>
        <w:rPr>
          <w:i/>
          <w:iCs/>
        </w:rPr>
        <w:t xml:space="preserve"> </w:t>
      </w:r>
      <w:r w:rsidR="004E527D">
        <w:rPr>
          <w:i/>
          <w:iCs/>
        </w:rPr>
        <w:t>de</w:t>
      </w:r>
      <w:r w:rsidR="00E86658">
        <w:rPr>
          <w:i/>
          <w:iCs/>
        </w:rPr>
        <w:t xml:space="preserve"> </w:t>
      </w:r>
      <w:r>
        <w:rPr>
          <w:i/>
          <w:iCs/>
        </w:rPr>
        <w:t>aktiver og passiver</w:t>
      </w:r>
      <w:r w:rsidR="00F52895">
        <w:rPr>
          <w:i/>
          <w:iCs/>
        </w:rPr>
        <w:t xml:space="preserve">, kommunen har. </w:t>
      </w:r>
    </w:p>
    <w:p w14:paraId="6058C835" w14:textId="6E21675E" w:rsidR="00F52895" w:rsidRDefault="00F52895" w:rsidP="00F52895">
      <w:pPr>
        <w:spacing w:after="0"/>
        <w:rPr>
          <w:i/>
          <w:iCs/>
        </w:rPr>
      </w:pPr>
      <w:r w:rsidRPr="00F52895">
        <w:rPr>
          <w:i/>
          <w:iCs/>
        </w:rPr>
        <w:lastRenderedPageBreak/>
        <w:t xml:space="preserve">Bestemmelsen vil </w:t>
      </w:r>
      <w:r w:rsidR="003B2911">
        <w:rPr>
          <w:i/>
          <w:iCs/>
        </w:rPr>
        <w:t>herunder</w:t>
      </w:r>
      <w:r w:rsidRPr="00F52895">
        <w:rPr>
          <w:i/>
          <w:iCs/>
        </w:rPr>
        <w:t xml:space="preserve"> omfatte blandt andet de tilgodehavender, som den kommune, hvorfra opgaven overføres, har hos borgere, virksomheder og andre offentlige myndigheder, samt borgernes, virksomhedernes og andre offentlige myndigheders krav mod den kommune, hvorfra opgaven overføres, forudsat at de pågældende tilgodehavender og krav udelukkende</w:t>
      </w:r>
      <w:r w:rsidR="00B24382">
        <w:rPr>
          <w:i/>
          <w:iCs/>
        </w:rPr>
        <w:t xml:space="preserve"> eller helt overvejende</w:t>
      </w:r>
      <w:r w:rsidRPr="00F52895">
        <w:rPr>
          <w:i/>
          <w:iCs/>
        </w:rPr>
        <w:t xml:space="preserve"> er knyttet til varetagelsen af den pågældende opgave.</w:t>
      </w:r>
    </w:p>
    <w:p w14:paraId="4032A3BF" w14:textId="77777777" w:rsidR="002305BA" w:rsidRDefault="002305BA" w:rsidP="00F52895">
      <w:pPr>
        <w:spacing w:after="0"/>
        <w:rPr>
          <w:i/>
          <w:iCs/>
        </w:rPr>
      </w:pPr>
    </w:p>
    <w:p w14:paraId="33774EB1" w14:textId="539E3DF7" w:rsidR="00D433B4" w:rsidRPr="005C0C7E" w:rsidRDefault="00D433B4" w:rsidP="00D433B4">
      <w:pPr>
        <w:spacing w:after="0"/>
      </w:pPr>
      <w:r>
        <w:t xml:space="preserve">Aktiver og passiver er i lovgivningen jf. §141 afgrænset til: </w:t>
      </w:r>
    </w:p>
    <w:p w14:paraId="0312BD56" w14:textId="0AA12E59" w:rsidR="00D433B4" w:rsidRDefault="00D433B4" w:rsidP="00D433B4">
      <w:pPr>
        <w:pStyle w:val="Listeafsnit"/>
        <w:numPr>
          <w:ilvl w:val="0"/>
          <w:numId w:val="2"/>
        </w:numPr>
        <w:spacing w:after="0"/>
        <w:rPr>
          <w:i/>
          <w:iCs/>
        </w:rPr>
      </w:pPr>
      <w:r w:rsidRPr="005C0C7E">
        <w:rPr>
          <w:i/>
          <w:iCs/>
        </w:rPr>
        <w:t>Regionen overtager aktiver og passiver, der udelukkende eller helt overvejende er knyttet til sundhedsopgaver, der overføres fra kommuner til regioner. Det betyder, at regionen overtager ejendomme, inventar, udstyr mv., hvis disse udelukkende eller helt overvejende har været brugt til overførte opgaver.</w:t>
      </w:r>
      <w:r w:rsidR="009A489A">
        <w:rPr>
          <w:i/>
          <w:iCs/>
        </w:rPr>
        <w:t xml:space="preserve"> </w:t>
      </w:r>
      <w:r w:rsidRPr="005C0C7E">
        <w:rPr>
          <w:i/>
          <w:iCs/>
        </w:rPr>
        <w:t>Udgangspunktet for overførelsen er ejendommenes (inkl. løsøre)</w:t>
      </w:r>
      <w:r w:rsidR="00632688">
        <w:rPr>
          <w:i/>
          <w:iCs/>
        </w:rPr>
        <w:t xml:space="preserve"> </w:t>
      </w:r>
      <w:r w:rsidRPr="005C0C7E">
        <w:rPr>
          <w:i/>
          <w:iCs/>
        </w:rPr>
        <w:t>anvendelse d</w:t>
      </w:r>
      <w:r w:rsidR="00632688">
        <w:rPr>
          <w:i/>
          <w:iCs/>
        </w:rPr>
        <w:t>en</w:t>
      </w:r>
      <w:r w:rsidRPr="005C0C7E">
        <w:rPr>
          <w:i/>
          <w:iCs/>
        </w:rPr>
        <w:t xml:space="preserve"> 25. maj 2025. </w:t>
      </w:r>
      <w:r>
        <w:rPr>
          <w:i/>
          <w:iCs/>
        </w:rPr>
        <w:t>For løsøre, der ikke er knyttet til ejendomme, er det anvendelsen på aftaletidspunktet, der er gældende.</w:t>
      </w:r>
    </w:p>
    <w:p w14:paraId="00F64857" w14:textId="77777777" w:rsidR="00D433B4" w:rsidRPr="00F2752C" w:rsidRDefault="00D433B4" w:rsidP="00D433B4">
      <w:pPr>
        <w:pStyle w:val="Listeafsnit"/>
        <w:numPr>
          <w:ilvl w:val="0"/>
          <w:numId w:val="2"/>
        </w:numPr>
        <w:spacing w:after="0"/>
        <w:rPr>
          <w:i/>
          <w:iCs/>
        </w:rPr>
      </w:pPr>
      <w:r w:rsidRPr="00F2752C">
        <w:rPr>
          <w:i/>
          <w:iCs/>
        </w:rPr>
        <w:t xml:space="preserve">Kommunen og regionen kan aftale, at enkelte aktiver eller passiver ikke skal overføres. Det kræver dog enighed – ingen af </w:t>
      </w:r>
      <w:r w:rsidRPr="001B5F70">
        <w:rPr>
          <w:i/>
          <w:iCs/>
        </w:rPr>
        <w:t>parterne</w:t>
      </w:r>
      <w:r w:rsidRPr="00F2752C">
        <w:rPr>
          <w:i/>
          <w:iCs/>
        </w:rPr>
        <w:t xml:space="preserve"> kan kræve, at noget undtages.</w:t>
      </w:r>
    </w:p>
    <w:p w14:paraId="0341D8A6" w14:textId="77777777" w:rsidR="00D433B4" w:rsidRDefault="00D433B4" w:rsidP="00D433B4">
      <w:pPr>
        <w:pStyle w:val="Listeafsnit"/>
        <w:numPr>
          <w:ilvl w:val="0"/>
          <w:numId w:val="2"/>
        </w:numPr>
        <w:spacing w:after="0"/>
      </w:pPr>
      <w:r w:rsidRPr="00F2752C">
        <w:rPr>
          <w:i/>
          <w:iCs/>
        </w:rPr>
        <w:t>Kommunen og regionen kan aftale, at aktiver og passiver, der ikke er opgavehenførbare</w:t>
      </w:r>
      <w:r w:rsidRPr="00463C5F">
        <w:t xml:space="preserve">, </w:t>
      </w:r>
      <w:r w:rsidRPr="0049405B">
        <w:rPr>
          <w:i/>
          <w:iCs/>
        </w:rPr>
        <w:t>alligevel overføres fra kommunen til regionen.</w:t>
      </w:r>
      <w:r w:rsidRPr="00463C5F">
        <w:t xml:space="preserve"> </w:t>
      </w:r>
    </w:p>
    <w:p w14:paraId="102114C5" w14:textId="1808CD43" w:rsidR="00D433B4" w:rsidRDefault="00D433B4" w:rsidP="00D433B4">
      <w:pPr>
        <w:pStyle w:val="Listeafsnit"/>
        <w:numPr>
          <w:ilvl w:val="0"/>
          <w:numId w:val="2"/>
        </w:numPr>
        <w:spacing w:after="0"/>
        <w:rPr>
          <w:i/>
          <w:iCs/>
        </w:rPr>
      </w:pPr>
      <w:r w:rsidRPr="005C0C7E">
        <w:rPr>
          <w:i/>
          <w:iCs/>
        </w:rPr>
        <w:t xml:space="preserve">Hvis kommunen fortsat skal </w:t>
      </w:r>
      <w:r w:rsidR="00B7251A">
        <w:rPr>
          <w:i/>
          <w:iCs/>
        </w:rPr>
        <w:t xml:space="preserve">varetage </w:t>
      </w:r>
      <w:r w:rsidRPr="005C0C7E">
        <w:rPr>
          <w:i/>
          <w:iCs/>
        </w:rPr>
        <w:t>driften af opgaven efter 1. januar 2027</w:t>
      </w:r>
      <w:r w:rsidR="00260651">
        <w:rPr>
          <w:i/>
          <w:iCs/>
        </w:rPr>
        <w:t xml:space="preserve"> – </w:t>
      </w:r>
      <w:r w:rsidR="00157770">
        <w:rPr>
          <w:i/>
          <w:iCs/>
        </w:rPr>
        <w:t xml:space="preserve">fx hvis parterne indgår i en horisontal samarbejdsaftale eller hvis regionen anmoder kommunen om fortsat at varetage driftsansvaret, jf. § 5, stk. 3, i overgangsloven </w:t>
      </w:r>
      <w:r w:rsidRPr="005C0C7E">
        <w:rPr>
          <w:i/>
          <w:iCs/>
        </w:rPr>
        <w:t>– overføres kun de aktiver, passiver, rettigheder og pligter, der vedrører myndighedsansvaret.</w:t>
      </w:r>
    </w:p>
    <w:p w14:paraId="1C8DEA8C" w14:textId="631EB0BB" w:rsidR="00D433B4" w:rsidRPr="006A1434" w:rsidRDefault="00D433B4" w:rsidP="00D433B4">
      <w:pPr>
        <w:pStyle w:val="Listeafsnit"/>
        <w:numPr>
          <w:ilvl w:val="0"/>
          <w:numId w:val="2"/>
        </w:numPr>
        <w:spacing w:after="0"/>
      </w:pPr>
      <w:r>
        <w:rPr>
          <w:i/>
          <w:iCs/>
        </w:rPr>
        <w:t>Værdiansættelsen af aktiver og passiver tager udgangspunkt i Budget</w:t>
      </w:r>
      <w:r w:rsidR="00CE2E59">
        <w:rPr>
          <w:i/>
          <w:iCs/>
        </w:rPr>
        <w:t>-</w:t>
      </w:r>
      <w:r>
        <w:rPr>
          <w:i/>
          <w:iCs/>
        </w:rPr>
        <w:t xml:space="preserve"> og regnskabssystem for kommuner. </w:t>
      </w:r>
    </w:p>
    <w:p w14:paraId="4EF1F600" w14:textId="77777777" w:rsidR="00D433B4" w:rsidRDefault="00D433B4" w:rsidP="00F52895">
      <w:pPr>
        <w:spacing w:after="0"/>
        <w:rPr>
          <w:i/>
          <w:iCs/>
        </w:rPr>
      </w:pPr>
    </w:p>
    <w:p w14:paraId="00EED3C5" w14:textId="41AF50EA" w:rsidR="00677EEB" w:rsidRDefault="0084097F" w:rsidP="00677EEB">
      <w:pPr>
        <w:spacing w:after="0"/>
        <w:rPr>
          <w:i/>
          <w:iCs/>
        </w:rPr>
      </w:pPr>
      <w:r>
        <w:rPr>
          <w:i/>
          <w:iCs/>
        </w:rPr>
        <w:t>A</w:t>
      </w:r>
      <w:r w:rsidR="00677EEB">
        <w:rPr>
          <w:i/>
          <w:iCs/>
        </w:rPr>
        <w:t>ktiver og passiver</w:t>
      </w:r>
      <w:r>
        <w:rPr>
          <w:i/>
          <w:iCs/>
        </w:rPr>
        <w:t xml:space="preserve"> omfatter</w:t>
      </w:r>
      <w:r w:rsidR="00677EEB">
        <w:rPr>
          <w:i/>
          <w:iCs/>
        </w:rPr>
        <w:t xml:space="preserve">: </w:t>
      </w:r>
    </w:p>
    <w:p w14:paraId="653EDF24" w14:textId="353A38C8" w:rsidR="00677EEB" w:rsidRPr="00F13C75" w:rsidRDefault="00677EEB" w:rsidP="00677EEB">
      <w:pPr>
        <w:pStyle w:val="Listeafsnit"/>
        <w:numPr>
          <w:ilvl w:val="0"/>
          <w:numId w:val="4"/>
        </w:numPr>
        <w:rPr>
          <w:i/>
          <w:iCs/>
        </w:rPr>
      </w:pPr>
      <w:r w:rsidRPr="00F13C75">
        <w:rPr>
          <w:i/>
          <w:iCs/>
        </w:rPr>
        <w:t>Grunde og bygninger</w:t>
      </w:r>
      <w:r>
        <w:rPr>
          <w:i/>
          <w:iCs/>
        </w:rPr>
        <w:t xml:space="preserve"> (inkl. løsøre, uanset værdi, tilknyttet ejendomme, som overtages af regionen)</w:t>
      </w:r>
      <w:r w:rsidR="00632688">
        <w:rPr>
          <w:i/>
          <w:iCs/>
        </w:rPr>
        <w:t>.</w:t>
      </w:r>
    </w:p>
    <w:p w14:paraId="38035939" w14:textId="62717249" w:rsidR="00677EEB" w:rsidRDefault="00677EEB" w:rsidP="00677EEB">
      <w:pPr>
        <w:pStyle w:val="Listeafsnit"/>
        <w:numPr>
          <w:ilvl w:val="0"/>
          <w:numId w:val="4"/>
        </w:numPr>
        <w:rPr>
          <w:i/>
          <w:iCs/>
        </w:rPr>
      </w:pPr>
      <w:r w:rsidRPr="00F13C75">
        <w:rPr>
          <w:i/>
          <w:iCs/>
        </w:rPr>
        <w:t>Øvrige materielle anlægsaktiver</w:t>
      </w:r>
      <w:r>
        <w:rPr>
          <w:i/>
          <w:iCs/>
        </w:rPr>
        <w:t xml:space="preserve"> (fx biler)</w:t>
      </w:r>
      <w:r w:rsidR="00632688">
        <w:rPr>
          <w:i/>
          <w:iCs/>
        </w:rPr>
        <w:t>.</w:t>
      </w:r>
    </w:p>
    <w:p w14:paraId="7382A949" w14:textId="7B06E150" w:rsidR="00677EEB" w:rsidRDefault="00677EEB" w:rsidP="00677EEB">
      <w:pPr>
        <w:pStyle w:val="Listeafsnit"/>
        <w:numPr>
          <w:ilvl w:val="0"/>
          <w:numId w:val="4"/>
        </w:numPr>
        <w:rPr>
          <w:i/>
          <w:iCs/>
        </w:rPr>
      </w:pPr>
      <w:r>
        <w:rPr>
          <w:i/>
          <w:iCs/>
        </w:rPr>
        <w:t>Løsøre over 25.000 kr. (tilknyttet ejendomme, som ikke overtages af regionen)</w:t>
      </w:r>
      <w:r w:rsidR="00632688">
        <w:rPr>
          <w:i/>
          <w:iCs/>
        </w:rPr>
        <w:t>.</w:t>
      </w:r>
    </w:p>
    <w:p w14:paraId="76A53D98" w14:textId="30986BEF" w:rsidR="00677EEB" w:rsidRPr="00F13C75" w:rsidRDefault="00677EEB" w:rsidP="00677EEB">
      <w:pPr>
        <w:pStyle w:val="Listeafsnit"/>
        <w:numPr>
          <w:ilvl w:val="0"/>
          <w:numId w:val="4"/>
        </w:numPr>
        <w:rPr>
          <w:i/>
          <w:iCs/>
        </w:rPr>
      </w:pPr>
      <w:r w:rsidRPr="00F13C75">
        <w:rPr>
          <w:i/>
          <w:iCs/>
        </w:rPr>
        <w:t>Tilgodehavender</w:t>
      </w:r>
      <w:r w:rsidR="00632688">
        <w:rPr>
          <w:i/>
          <w:iCs/>
        </w:rPr>
        <w:t>.</w:t>
      </w:r>
    </w:p>
    <w:p w14:paraId="3C38D599" w14:textId="68877B77" w:rsidR="00677EEB" w:rsidRDefault="00677EEB" w:rsidP="00677EEB">
      <w:pPr>
        <w:pStyle w:val="Listeafsnit"/>
        <w:numPr>
          <w:ilvl w:val="0"/>
          <w:numId w:val="4"/>
        </w:numPr>
        <w:rPr>
          <w:i/>
          <w:iCs/>
        </w:rPr>
      </w:pPr>
      <w:r w:rsidRPr="00F13C75">
        <w:rPr>
          <w:i/>
          <w:iCs/>
        </w:rPr>
        <w:t>Likvide beholdninger</w:t>
      </w:r>
      <w:r>
        <w:rPr>
          <w:i/>
          <w:iCs/>
        </w:rPr>
        <w:t xml:space="preserve"> (i de særlige tilfælde, at der findes opgavehenførbare likvide beholdninger)</w:t>
      </w:r>
      <w:r w:rsidR="00632688">
        <w:rPr>
          <w:i/>
          <w:iCs/>
        </w:rPr>
        <w:t>.</w:t>
      </w:r>
    </w:p>
    <w:p w14:paraId="6B671F47" w14:textId="53AE8093" w:rsidR="00677EEB" w:rsidRDefault="00677EEB" w:rsidP="00677EEB">
      <w:pPr>
        <w:pStyle w:val="Listeafsnit"/>
        <w:numPr>
          <w:ilvl w:val="0"/>
          <w:numId w:val="4"/>
        </w:numPr>
        <w:rPr>
          <w:i/>
          <w:iCs/>
        </w:rPr>
      </w:pPr>
      <w:r>
        <w:rPr>
          <w:i/>
          <w:iCs/>
        </w:rPr>
        <w:t>Øvrige aktiver, som kan være relevante (fx varebeholdninger)</w:t>
      </w:r>
      <w:r w:rsidR="00632688">
        <w:rPr>
          <w:i/>
          <w:iCs/>
        </w:rPr>
        <w:t>.</w:t>
      </w:r>
    </w:p>
    <w:p w14:paraId="6E27D8AE" w14:textId="4B13DA67" w:rsidR="00677EEB" w:rsidRPr="001B5F70" w:rsidRDefault="00677EEB" w:rsidP="00677EEB">
      <w:pPr>
        <w:pStyle w:val="Listeafsnit"/>
        <w:numPr>
          <w:ilvl w:val="0"/>
          <w:numId w:val="4"/>
        </w:numPr>
        <w:rPr>
          <w:i/>
          <w:iCs/>
        </w:rPr>
      </w:pPr>
      <w:r w:rsidRPr="00F13C75">
        <w:rPr>
          <w:i/>
          <w:iCs/>
        </w:rPr>
        <w:t>Kortfristede</w:t>
      </w:r>
      <w:r>
        <w:rPr>
          <w:i/>
          <w:iCs/>
        </w:rPr>
        <w:t>- og langfristede</w:t>
      </w:r>
      <w:r w:rsidRPr="00F13C75">
        <w:rPr>
          <w:i/>
          <w:iCs/>
        </w:rPr>
        <w:t xml:space="preserve"> gældsforpligtelser</w:t>
      </w:r>
      <w:r w:rsidR="00632688">
        <w:rPr>
          <w:i/>
          <w:iCs/>
        </w:rPr>
        <w:t>.</w:t>
      </w:r>
    </w:p>
    <w:p w14:paraId="09B08F03" w14:textId="7EB37B16" w:rsidR="00677EEB" w:rsidRDefault="00EF0A97" w:rsidP="00677EEB">
      <w:pPr>
        <w:pStyle w:val="Listeafsnit"/>
        <w:numPr>
          <w:ilvl w:val="0"/>
          <w:numId w:val="4"/>
        </w:numPr>
        <w:rPr>
          <w:i/>
          <w:iCs/>
        </w:rPr>
      </w:pPr>
      <w:r>
        <w:rPr>
          <w:i/>
          <w:iCs/>
        </w:rPr>
        <w:t>[</w:t>
      </w:r>
      <w:r w:rsidR="00677EEB">
        <w:rPr>
          <w:i/>
          <w:iCs/>
        </w:rPr>
        <w:t>Feriepenge for ferie, som er optjent, men ikke afholdt inden overførslen, for overførte medarbejdere</w:t>
      </w:r>
      <w:r w:rsidR="00632688">
        <w:rPr>
          <w:i/>
          <w:iCs/>
        </w:rPr>
        <w:t>.</w:t>
      </w:r>
      <w:r>
        <w:rPr>
          <w:i/>
          <w:iCs/>
        </w:rPr>
        <w:t>]</w:t>
      </w:r>
      <w:r w:rsidR="00331820">
        <w:rPr>
          <w:rStyle w:val="Fodnotehenvisning"/>
          <w:i/>
          <w:iCs/>
        </w:rPr>
        <w:footnoteReference w:id="2"/>
      </w:r>
    </w:p>
    <w:p w14:paraId="40F5D82F" w14:textId="68BCD9B1" w:rsidR="008074D9" w:rsidRPr="00B82418" w:rsidRDefault="00677EEB" w:rsidP="00AC4AF0">
      <w:pPr>
        <w:pStyle w:val="Listeafsnit"/>
        <w:numPr>
          <w:ilvl w:val="0"/>
          <w:numId w:val="4"/>
        </w:numPr>
        <w:spacing w:after="0"/>
        <w:rPr>
          <w:i/>
          <w:iCs/>
        </w:rPr>
      </w:pPr>
      <w:r>
        <w:rPr>
          <w:i/>
          <w:iCs/>
        </w:rPr>
        <w:t>Øvrige passiver,</w:t>
      </w:r>
      <w:r w:rsidRPr="007E5BA5">
        <w:rPr>
          <w:i/>
          <w:iCs/>
        </w:rPr>
        <w:t xml:space="preserve"> som kan være relevante</w:t>
      </w:r>
      <w:r>
        <w:rPr>
          <w:i/>
          <w:iCs/>
        </w:rPr>
        <w:t xml:space="preserve"> (fx </w:t>
      </w:r>
      <w:r w:rsidRPr="007E5BA5">
        <w:rPr>
          <w:i/>
          <w:iCs/>
        </w:rPr>
        <w:t xml:space="preserve">oplysninger omkring fagretlige sager, arbejdsskadesager </w:t>
      </w:r>
      <w:r>
        <w:rPr>
          <w:i/>
          <w:iCs/>
        </w:rPr>
        <w:t>mv.).</w:t>
      </w:r>
      <w:r w:rsidR="00AA6732">
        <w:rPr>
          <w:rStyle w:val="Fodnotehenvisning"/>
          <w:i/>
          <w:iCs/>
        </w:rPr>
        <w:footnoteReference w:id="3"/>
      </w:r>
    </w:p>
    <w:p w14:paraId="088BD8C8" w14:textId="77777777" w:rsidR="008074D9" w:rsidRDefault="008074D9" w:rsidP="002D1003">
      <w:pPr>
        <w:spacing w:after="0"/>
      </w:pPr>
    </w:p>
    <w:p w14:paraId="5D83BB77" w14:textId="7D5FA0E4" w:rsidR="007944A1" w:rsidRDefault="007944A1" w:rsidP="002D1003">
      <w:pPr>
        <w:spacing w:after="0"/>
      </w:pPr>
      <w:r>
        <w:t>Optjente tjenestemandspensioner fremgår ikke af listen, idet forpligtelsen først kan opgøres endeligt, når tjenestemanden går på pension, jf. i øvrigt afsnit 5.</w:t>
      </w:r>
    </w:p>
    <w:p w14:paraId="430404CB" w14:textId="0A7249BE" w:rsidR="007944A1" w:rsidRDefault="007944A1" w:rsidP="002D1003">
      <w:pPr>
        <w:spacing w:after="0"/>
      </w:pPr>
      <w:r>
        <w:t xml:space="preserve">   </w:t>
      </w:r>
    </w:p>
    <w:p w14:paraId="27764E6B" w14:textId="56B85199" w:rsidR="00CB0EB3" w:rsidRDefault="008074D9" w:rsidP="00B539DB">
      <w:pPr>
        <w:spacing w:after="0"/>
      </w:pPr>
      <w:r>
        <w:lastRenderedPageBreak/>
        <w:t>De oplysninger, der skal afgives om aktiver og passiver er beskrevet i bilag 1</w:t>
      </w:r>
      <w:r w:rsidR="00EA77E2">
        <w:t>.</w:t>
      </w:r>
      <w:r w:rsidR="000D3BBF">
        <w:t xml:space="preserve"> Såfremt </w:t>
      </w:r>
      <w:r w:rsidR="004E42F8" w:rsidRPr="00A25AC7">
        <w:t>der måtte være aktiver og passiver helt overvejende eller udelukkende knyttet til opgaven</w:t>
      </w:r>
      <w:r w:rsidR="004E42F8">
        <w:t xml:space="preserve">, der ikke fremgår af bilag 1, bør disse medtages. </w:t>
      </w:r>
    </w:p>
    <w:p w14:paraId="3C84E3BB" w14:textId="77777777" w:rsidR="00B539DB" w:rsidRDefault="00B539DB" w:rsidP="00B539DB">
      <w:pPr>
        <w:spacing w:after="0"/>
        <w:rPr>
          <w:b/>
          <w:bCs/>
        </w:rPr>
      </w:pPr>
    </w:p>
    <w:p w14:paraId="2434C99E" w14:textId="4794831A" w:rsidR="00364FA2" w:rsidRPr="00364FA2" w:rsidRDefault="00812046" w:rsidP="00AE6CDF">
      <w:pPr>
        <w:spacing w:after="0"/>
        <w:rPr>
          <w:b/>
          <w:bCs/>
        </w:rPr>
      </w:pPr>
      <w:r>
        <w:rPr>
          <w:b/>
          <w:bCs/>
        </w:rPr>
        <w:t>4</w:t>
      </w:r>
      <w:r w:rsidR="00364FA2" w:rsidRPr="00364FA2">
        <w:rPr>
          <w:b/>
          <w:bCs/>
        </w:rPr>
        <w:t>.</w:t>
      </w:r>
      <w:r w:rsidR="00AE6CDF">
        <w:rPr>
          <w:b/>
          <w:bCs/>
        </w:rPr>
        <w:t xml:space="preserve"> </w:t>
      </w:r>
      <w:r w:rsidR="00364FA2" w:rsidRPr="00364FA2">
        <w:rPr>
          <w:b/>
          <w:bCs/>
        </w:rPr>
        <w:t>Rettigheder og pligter</w:t>
      </w:r>
    </w:p>
    <w:p w14:paraId="1E4B42A0" w14:textId="0B089F0E" w:rsidR="002D1003" w:rsidRDefault="00C37FA0" w:rsidP="002D1003">
      <w:pPr>
        <w:spacing w:after="0"/>
        <w:rPr>
          <w:i/>
          <w:iCs/>
        </w:rPr>
      </w:pPr>
      <w:r w:rsidRPr="00C37FA0">
        <w:rPr>
          <w:i/>
          <w:iCs/>
        </w:rPr>
        <w:t>Dette afsnit skal indeholde en o</w:t>
      </w:r>
      <w:r w:rsidR="00364FA2" w:rsidRPr="00C37FA0">
        <w:rPr>
          <w:i/>
          <w:iCs/>
        </w:rPr>
        <w:t>versigt over rettigheder og pligter</w:t>
      </w:r>
      <w:r w:rsidRPr="00C37FA0">
        <w:rPr>
          <w:i/>
          <w:iCs/>
        </w:rPr>
        <w:t>,</w:t>
      </w:r>
      <w:r w:rsidR="00364FA2" w:rsidRPr="00C37FA0">
        <w:rPr>
          <w:i/>
          <w:iCs/>
        </w:rPr>
        <w:t xml:space="preserve"> der overdrages</w:t>
      </w:r>
      <w:r w:rsidRPr="00C37FA0">
        <w:rPr>
          <w:i/>
          <w:iCs/>
        </w:rPr>
        <w:t>.</w:t>
      </w:r>
      <w:r w:rsidR="00B820F4">
        <w:rPr>
          <w:i/>
          <w:iCs/>
        </w:rPr>
        <w:t xml:space="preserve"> </w:t>
      </w:r>
      <w:r w:rsidR="002D1003">
        <w:rPr>
          <w:i/>
          <w:iCs/>
        </w:rPr>
        <w:t xml:space="preserve">Det omfatter </w:t>
      </w:r>
      <w:r w:rsidR="002D1003" w:rsidRPr="002D1003">
        <w:rPr>
          <w:i/>
          <w:iCs/>
        </w:rPr>
        <w:t>samtlige re</w:t>
      </w:r>
      <w:r w:rsidR="002D1003">
        <w:rPr>
          <w:i/>
          <w:iCs/>
        </w:rPr>
        <w:t>t</w:t>
      </w:r>
      <w:r w:rsidR="002D1003" w:rsidRPr="002D1003">
        <w:rPr>
          <w:i/>
          <w:iCs/>
        </w:rPr>
        <w:t xml:space="preserve">tigheder og pligter, der </w:t>
      </w:r>
      <w:r w:rsidR="00E86658">
        <w:rPr>
          <w:i/>
          <w:iCs/>
        </w:rPr>
        <w:t>er tilknyttet</w:t>
      </w:r>
      <w:r w:rsidR="002D1003" w:rsidRPr="002D1003">
        <w:rPr>
          <w:i/>
          <w:iCs/>
        </w:rPr>
        <w:t xml:space="preserve"> den kommune, hvorfra opgaven overføres. Det vil gælde uanset karakter, retsgrundlag og stiftelsestidspunkt </w:t>
      </w:r>
      <w:r w:rsidR="002D1003">
        <w:rPr>
          <w:i/>
          <w:iCs/>
        </w:rPr>
        <w:t xml:space="preserve">samt </w:t>
      </w:r>
      <w:r w:rsidR="002D1003" w:rsidRPr="002D1003">
        <w:rPr>
          <w:i/>
          <w:iCs/>
        </w:rPr>
        <w:t>omfatte rettigheder og pligter indgået på såvel offentligretligt som privatretligt grundlag.</w:t>
      </w:r>
      <w:r w:rsidR="002D1003">
        <w:rPr>
          <w:i/>
          <w:iCs/>
        </w:rPr>
        <w:t xml:space="preserve"> </w:t>
      </w:r>
      <w:r w:rsidR="002D1003" w:rsidRPr="002D1003">
        <w:rPr>
          <w:i/>
          <w:iCs/>
        </w:rPr>
        <w:t xml:space="preserve">Kommunen, der udarbejder aftaleudkast, vil </w:t>
      </w:r>
      <w:r w:rsidR="00E86658">
        <w:rPr>
          <w:i/>
          <w:iCs/>
        </w:rPr>
        <w:t xml:space="preserve">skulle foretage de nødvendige undersøgelser med henblik på at </w:t>
      </w:r>
      <w:r w:rsidR="00B24382">
        <w:rPr>
          <w:i/>
          <w:iCs/>
        </w:rPr>
        <w:t xml:space="preserve">identificere </w:t>
      </w:r>
      <w:r w:rsidR="00E86658">
        <w:rPr>
          <w:i/>
          <w:iCs/>
        </w:rPr>
        <w:t xml:space="preserve">kommunens </w:t>
      </w:r>
      <w:r w:rsidR="002D1003" w:rsidRPr="002D1003">
        <w:rPr>
          <w:i/>
          <w:iCs/>
        </w:rPr>
        <w:t>rettigheder og pligter</w:t>
      </w:r>
      <w:r w:rsidR="00E86658">
        <w:rPr>
          <w:i/>
          <w:iCs/>
        </w:rPr>
        <w:t>.</w:t>
      </w:r>
    </w:p>
    <w:p w14:paraId="72088D81" w14:textId="77777777" w:rsidR="00070290" w:rsidRDefault="00070290" w:rsidP="002D1003">
      <w:pPr>
        <w:spacing w:after="0"/>
        <w:rPr>
          <w:i/>
          <w:iCs/>
        </w:rPr>
      </w:pPr>
    </w:p>
    <w:p w14:paraId="3380072D" w14:textId="6539A9B6" w:rsidR="00070290" w:rsidRDefault="00070290" w:rsidP="00070290">
      <w:pPr>
        <w:spacing w:after="0"/>
        <w:rPr>
          <w:i/>
          <w:iCs/>
        </w:rPr>
      </w:pPr>
      <w:r>
        <w:rPr>
          <w:i/>
          <w:iCs/>
        </w:rPr>
        <w:t xml:space="preserve">Særligt </w:t>
      </w:r>
      <w:r w:rsidRPr="00070290">
        <w:rPr>
          <w:i/>
          <w:iCs/>
        </w:rPr>
        <w:t>i</w:t>
      </w:r>
      <w:r>
        <w:rPr>
          <w:i/>
          <w:iCs/>
        </w:rPr>
        <w:t xml:space="preserve"> forhold til</w:t>
      </w:r>
      <w:r w:rsidRPr="00070290">
        <w:rPr>
          <w:i/>
          <w:iCs/>
        </w:rPr>
        <w:t xml:space="preserve"> ejendomme</w:t>
      </w:r>
      <w:r w:rsidR="00083B75">
        <w:rPr>
          <w:i/>
          <w:iCs/>
        </w:rPr>
        <w:t xml:space="preserve">, der overdrages, </w:t>
      </w:r>
      <w:r w:rsidRPr="00070290">
        <w:rPr>
          <w:i/>
          <w:iCs/>
        </w:rPr>
        <w:t xml:space="preserve">overtager </w:t>
      </w:r>
      <w:r>
        <w:rPr>
          <w:i/>
          <w:iCs/>
        </w:rPr>
        <w:t xml:space="preserve">regionen </w:t>
      </w:r>
      <w:r w:rsidRPr="00070290">
        <w:rPr>
          <w:i/>
          <w:iCs/>
        </w:rPr>
        <w:t xml:space="preserve">de rettigheder/pligter, der fremgår af tingbogen </w:t>
      </w:r>
      <w:r w:rsidR="00486A92">
        <w:rPr>
          <w:i/>
          <w:iCs/>
        </w:rPr>
        <w:t>–</w:t>
      </w:r>
      <w:r>
        <w:rPr>
          <w:i/>
          <w:iCs/>
        </w:rPr>
        <w:t xml:space="preserve"> </w:t>
      </w:r>
      <w:r w:rsidR="00472B58">
        <w:rPr>
          <w:i/>
          <w:iCs/>
        </w:rPr>
        <w:t xml:space="preserve">fx </w:t>
      </w:r>
      <w:r w:rsidR="00472B58" w:rsidRPr="00070290">
        <w:rPr>
          <w:i/>
          <w:iCs/>
        </w:rPr>
        <w:t>gæld</w:t>
      </w:r>
      <w:r w:rsidRPr="00070290">
        <w:rPr>
          <w:i/>
          <w:iCs/>
        </w:rPr>
        <w:t>, deklaration</w:t>
      </w:r>
      <w:r w:rsidR="00486A92">
        <w:rPr>
          <w:i/>
          <w:iCs/>
        </w:rPr>
        <w:t xml:space="preserve">er </w:t>
      </w:r>
      <w:r w:rsidRPr="00070290">
        <w:rPr>
          <w:i/>
          <w:iCs/>
        </w:rPr>
        <w:t>m</w:t>
      </w:r>
      <w:r w:rsidR="00486A92">
        <w:rPr>
          <w:i/>
          <w:iCs/>
        </w:rPr>
        <w:t>v</w:t>
      </w:r>
      <w:r w:rsidRPr="00070290">
        <w:rPr>
          <w:i/>
          <w:iCs/>
        </w:rPr>
        <w:t>.</w:t>
      </w:r>
    </w:p>
    <w:p w14:paraId="5FAF1D7E" w14:textId="77777777" w:rsidR="00C77EF2" w:rsidRDefault="00C77EF2" w:rsidP="002D1003">
      <w:pPr>
        <w:spacing w:after="0"/>
        <w:rPr>
          <w:i/>
          <w:iCs/>
        </w:rPr>
      </w:pPr>
    </w:p>
    <w:p w14:paraId="5C3D78AF" w14:textId="7342AB36" w:rsidR="002D1003" w:rsidRDefault="008E77C2" w:rsidP="002D1003">
      <w:pPr>
        <w:spacing w:after="0"/>
        <w:rPr>
          <w:i/>
          <w:iCs/>
        </w:rPr>
      </w:pPr>
      <w:r>
        <w:rPr>
          <w:i/>
          <w:iCs/>
        </w:rPr>
        <w:t>[</w:t>
      </w:r>
      <w:r w:rsidR="00E86658">
        <w:rPr>
          <w:i/>
          <w:iCs/>
        </w:rPr>
        <w:t xml:space="preserve">Opgaveflytningen </w:t>
      </w:r>
      <w:r w:rsidR="002D1003" w:rsidRPr="002D1003">
        <w:rPr>
          <w:i/>
          <w:iCs/>
        </w:rPr>
        <w:t>gælde</w:t>
      </w:r>
      <w:r w:rsidR="00BF1B24">
        <w:rPr>
          <w:i/>
          <w:iCs/>
        </w:rPr>
        <w:t>r også</w:t>
      </w:r>
      <w:r w:rsidR="002D1003" w:rsidRPr="002D1003">
        <w:rPr>
          <w:i/>
          <w:iCs/>
        </w:rPr>
        <w:t xml:space="preserve"> for </w:t>
      </w:r>
      <w:r w:rsidR="00BF1B24">
        <w:rPr>
          <w:i/>
          <w:iCs/>
        </w:rPr>
        <w:t>r</w:t>
      </w:r>
      <w:r w:rsidR="002D1003" w:rsidRPr="002D1003">
        <w:rPr>
          <w:i/>
          <w:iCs/>
        </w:rPr>
        <w:t>ettigheder og pligter, der ikke er kommunen bekendt på overførselstidspunktet. Det vil blandt andet gælde erstatningskrav, som kommunen ifalder efter overførselstidspunktet for en skadevoldende handling begået før overførselstidspunktet.</w:t>
      </w:r>
      <w:r>
        <w:rPr>
          <w:i/>
          <w:iCs/>
        </w:rPr>
        <w:t>]</w:t>
      </w:r>
      <w:r w:rsidR="008B060F">
        <w:rPr>
          <w:rStyle w:val="Fodnotehenvisning"/>
          <w:i/>
          <w:iCs/>
        </w:rPr>
        <w:footnoteReference w:id="4"/>
      </w:r>
    </w:p>
    <w:p w14:paraId="62B84BB1" w14:textId="77777777" w:rsidR="006E7194" w:rsidRDefault="006E7194" w:rsidP="002D1003">
      <w:pPr>
        <w:spacing w:after="0"/>
        <w:rPr>
          <w:i/>
          <w:iCs/>
        </w:rPr>
      </w:pPr>
    </w:p>
    <w:p w14:paraId="29E5A693" w14:textId="728B743D" w:rsidR="003971FA" w:rsidRPr="005C0C7E" w:rsidRDefault="003971FA" w:rsidP="003971FA">
      <w:pPr>
        <w:spacing w:after="0"/>
      </w:pPr>
      <w:r>
        <w:t xml:space="preserve">Rettigheder og pligter er i lovgivningen jf. §141 afgrænset til: </w:t>
      </w:r>
    </w:p>
    <w:p w14:paraId="055FF32D" w14:textId="356BE74C" w:rsidR="003971FA" w:rsidRPr="00F2752C" w:rsidRDefault="003971FA" w:rsidP="003971FA">
      <w:pPr>
        <w:pStyle w:val="Listeafsnit"/>
        <w:numPr>
          <w:ilvl w:val="0"/>
          <w:numId w:val="2"/>
        </w:numPr>
        <w:spacing w:after="0"/>
        <w:rPr>
          <w:i/>
          <w:iCs/>
        </w:rPr>
      </w:pPr>
      <w:r w:rsidRPr="00F2752C">
        <w:rPr>
          <w:i/>
          <w:iCs/>
        </w:rPr>
        <w:t>Rettighed</w:t>
      </w:r>
      <w:r>
        <w:rPr>
          <w:i/>
          <w:iCs/>
        </w:rPr>
        <w:t xml:space="preserve">er </w:t>
      </w:r>
      <w:r w:rsidRPr="00F2752C">
        <w:rPr>
          <w:i/>
          <w:iCs/>
        </w:rPr>
        <w:t>og pligte</w:t>
      </w:r>
      <w:r>
        <w:rPr>
          <w:i/>
          <w:iCs/>
        </w:rPr>
        <w:t>r</w:t>
      </w:r>
      <w:r w:rsidRPr="00F2752C">
        <w:rPr>
          <w:i/>
          <w:iCs/>
        </w:rPr>
        <w:t xml:space="preserve"> </w:t>
      </w:r>
      <w:r>
        <w:rPr>
          <w:i/>
          <w:iCs/>
        </w:rPr>
        <w:t xml:space="preserve">jf. </w:t>
      </w:r>
      <w:r w:rsidRPr="00F2752C">
        <w:rPr>
          <w:i/>
          <w:iCs/>
        </w:rPr>
        <w:t xml:space="preserve">§ 141. Regionen overtager rettigheder og pligter, der udelukkende eller helt overvejende er knyttet til sundhedsopgaver, der overføres fra kommuner til regioner, medmindre kommunen og regionen aftaler der ikke skal ske overførsel. Dette omfatter fx kontrakter, leasingaftaler, fordringer og andre juridiske forhold, som er knyttet til opgaven. Kommunen og regionen kan aftale, at rettigheder og pligter, der ikke er opgavehenførbare, alligevel overføres fra kommunen til regionen. </w:t>
      </w:r>
    </w:p>
    <w:p w14:paraId="72D50E46" w14:textId="77777777" w:rsidR="003971FA" w:rsidRDefault="003971FA" w:rsidP="002D1003">
      <w:pPr>
        <w:spacing w:after="0"/>
        <w:rPr>
          <w:i/>
          <w:iCs/>
        </w:rPr>
      </w:pPr>
    </w:p>
    <w:p w14:paraId="273D246A" w14:textId="0EF8AE62" w:rsidR="00F1086D" w:rsidRDefault="00F1086D" w:rsidP="00F1086D">
      <w:pPr>
        <w:spacing w:after="0"/>
        <w:rPr>
          <w:i/>
          <w:iCs/>
        </w:rPr>
      </w:pPr>
      <w:r>
        <w:rPr>
          <w:i/>
          <w:iCs/>
        </w:rPr>
        <w:t>Rettigheder og pligter omfatter:</w:t>
      </w:r>
    </w:p>
    <w:p w14:paraId="397DC71E" w14:textId="77777777" w:rsidR="00025AAC" w:rsidRPr="00025AAC" w:rsidRDefault="00025AAC" w:rsidP="00025AAC">
      <w:pPr>
        <w:pStyle w:val="Listeafsnit"/>
        <w:numPr>
          <w:ilvl w:val="0"/>
          <w:numId w:val="35"/>
        </w:numPr>
        <w:spacing w:after="0"/>
        <w:rPr>
          <w:i/>
          <w:iCs/>
        </w:rPr>
      </w:pPr>
      <w:r w:rsidRPr="00025AAC">
        <w:rPr>
          <w:i/>
          <w:iCs/>
        </w:rPr>
        <w:t>Lejeaftaler</w:t>
      </w:r>
    </w:p>
    <w:p w14:paraId="294C937B" w14:textId="77777777" w:rsidR="00025AAC" w:rsidRPr="00025AAC" w:rsidRDefault="00025AAC" w:rsidP="00025AAC">
      <w:pPr>
        <w:pStyle w:val="Listeafsnit"/>
        <w:numPr>
          <w:ilvl w:val="0"/>
          <w:numId w:val="35"/>
        </w:numPr>
        <w:spacing w:after="0"/>
        <w:rPr>
          <w:i/>
          <w:iCs/>
        </w:rPr>
      </w:pPr>
      <w:r w:rsidRPr="00025AAC">
        <w:rPr>
          <w:i/>
          <w:iCs/>
        </w:rPr>
        <w:t>Leasingaftaler</w:t>
      </w:r>
    </w:p>
    <w:p w14:paraId="79C29764" w14:textId="77777777" w:rsidR="00025AAC" w:rsidRPr="00025AAC" w:rsidRDefault="00025AAC" w:rsidP="00025AAC">
      <w:pPr>
        <w:pStyle w:val="Listeafsnit"/>
        <w:numPr>
          <w:ilvl w:val="0"/>
          <w:numId w:val="35"/>
        </w:numPr>
        <w:spacing w:after="0"/>
        <w:rPr>
          <w:i/>
          <w:iCs/>
        </w:rPr>
      </w:pPr>
      <w:r w:rsidRPr="00025AAC">
        <w:rPr>
          <w:i/>
          <w:iCs/>
        </w:rPr>
        <w:t>Serviceaftaler</w:t>
      </w:r>
    </w:p>
    <w:p w14:paraId="042AF07A" w14:textId="77777777" w:rsidR="000D3BBF" w:rsidRDefault="00025AAC" w:rsidP="000D3BBF">
      <w:pPr>
        <w:pStyle w:val="Listeafsnit"/>
        <w:numPr>
          <w:ilvl w:val="0"/>
          <w:numId w:val="35"/>
        </w:numPr>
        <w:spacing w:after="0"/>
        <w:rPr>
          <w:i/>
          <w:iCs/>
        </w:rPr>
      </w:pPr>
      <w:r w:rsidRPr="00025AAC">
        <w:rPr>
          <w:i/>
          <w:iCs/>
        </w:rPr>
        <w:t>Kontrakter</w:t>
      </w:r>
    </w:p>
    <w:p w14:paraId="45FBCA2F" w14:textId="52F5BD0F" w:rsidR="000D3BBF" w:rsidRPr="000D3BBF" w:rsidRDefault="00025AAC" w:rsidP="000D3BBF">
      <w:pPr>
        <w:pStyle w:val="Listeafsnit"/>
        <w:numPr>
          <w:ilvl w:val="0"/>
          <w:numId w:val="35"/>
        </w:numPr>
        <w:spacing w:after="0"/>
        <w:rPr>
          <w:i/>
          <w:iCs/>
        </w:rPr>
      </w:pPr>
      <w:r w:rsidRPr="000D3BBF">
        <w:rPr>
          <w:i/>
          <w:iCs/>
        </w:rPr>
        <w:t>Forsikringer</w:t>
      </w:r>
    </w:p>
    <w:p w14:paraId="07C16E28" w14:textId="602D7A32" w:rsidR="00083B75" w:rsidRPr="000D3BBF" w:rsidRDefault="00025AAC" w:rsidP="000D3BBF">
      <w:pPr>
        <w:pStyle w:val="Listeafsnit"/>
        <w:numPr>
          <w:ilvl w:val="0"/>
          <w:numId w:val="35"/>
        </w:numPr>
        <w:spacing w:after="0"/>
        <w:rPr>
          <w:i/>
          <w:iCs/>
        </w:rPr>
      </w:pPr>
      <w:r w:rsidRPr="000D3BBF">
        <w:rPr>
          <w:i/>
          <w:iCs/>
        </w:rPr>
        <w:t>Øvrige rettigheder og pligter</w:t>
      </w:r>
      <w:r w:rsidR="00431C26" w:rsidRPr="000D3BBF">
        <w:rPr>
          <w:i/>
          <w:iCs/>
        </w:rPr>
        <w:t xml:space="preserve">, fx tinglyste rettigheder og pligter vedr. ejendomme, der overdrages </w:t>
      </w:r>
    </w:p>
    <w:p w14:paraId="68F5ABE3" w14:textId="1AE0ECFE" w:rsidR="00FE16C4" w:rsidRDefault="008074D9" w:rsidP="00C4071A">
      <w:pPr>
        <w:spacing w:after="0"/>
        <w:rPr>
          <w:b/>
          <w:bCs/>
        </w:rPr>
      </w:pPr>
      <w:r>
        <w:t>De oplysninger, der skal afgives om rettigheder og pligter er beskrevet i bilag 2</w:t>
      </w:r>
      <w:r w:rsidR="000D3BBF">
        <w:t>. Såfremt kommunerne bliver opmærksomme på andre rettigheder og pligter, der ikke fremgår af bila</w:t>
      </w:r>
      <w:r w:rsidR="00505524">
        <w:t xml:space="preserve">g 2, bør disse også medtages. </w:t>
      </w:r>
    </w:p>
    <w:p w14:paraId="46A8E926" w14:textId="77777777" w:rsidR="00E57E51" w:rsidRPr="00C4071A" w:rsidRDefault="00E57E51" w:rsidP="00C4071A">
      <w:pPr>
        <w:spacing w:after="0"/>
      </w:pPr>
    </w:p>
    <w:p w14:paraId="5A046DA3" w14:textId="0C1050BA" w:rsidR="00364FA2" w:rsidRPr="00364FA2" w:rsidRDefault="00812046" w:rsidP="00AE6CDF">
      <w:pPr>
        <w:spacing w:after="0"/>
        <w:rPr>
          <w:b/>
          <w:bCs/>
        </w:rPr>
      </w:pPr>
      <w:r>
        <w:rPr>
          <w:b/>
          <w:bCs/>
        </w:rPr>
        <w:t>5</w:t>
      </w:r>
      <w:r w:rsidR="00364FA2" w:rsidRPr="00364FA2">
        <w:rPr>
          <w:b/>
          <w:bCs/>
        </w:rPr>
        <w:t>.</w:t>
      </w:r>
      <w:r w:rsidR="00AE6CDF">
        <w:rPr>
          <w:b/>
          <w:bCs/>
        </w:rPr>
        <w:t xml:space="preserve"> </w:t>
      </w:r>
      <w:r w:rsidR="00364FA2" w:rsidRPr="00364FA2">
        <w:rPr>
          <w:b/>
          <w:bCs/>
        </w:rPr>
        <w:t>Personale</w:t>
      </w:r>
    </w:p>
    <w:p w14:paraId="38CBFABA" w14:textId="24E3C5F7" w:rsidR="001E4BA1" w:rsidRDefault="001E4BA1" w:rsidP="001E4BA1">
      <w:pPr>
        <w:spacing w:after="0"/>
        <w:rPr>
          <w:i/>
          <w:iCs/>
        </w:rPr>
      </w:pPr>
      <w:bookmarkStart w:id="3" w:name="_Hlk205215177"/>
      <w:r>
        <w:rPr>
          <w:i/>
          <w:iCs/>
        </w:rPr>
        <w:t xml:space="preserve">Dette afsnit </w:t>
      </w:r>
      <w:r w:rsidR="008B6138">
        <w:rPr>
          <w:i/>
          <w:iCs/>
        </w:rPr>
        <w:t xml:space="preserve">(eller et bilag til aftalen) </w:t>
      </w:r>
      <w:r>
        <w:rPr>
          <w:i/>
          <w:iCs/>
        </w:rPr>
        <w:t>skal ind</w:t>
      </w:r>
      <w:r w:rsidR="00D6509A">
        <w:rPr>
          <w:i/>
          <w:iCs/>
        </w:rPr>
        <w:t>e</w:t>
      </w:r>
      <w:r>
        <w:rPr>
          <w:i/>
          <w:iCs/>
        </w:rPr>
        <w:t>holde:</w:t>
      </w:r>
    </w:p>
    <w:p w14:paraId="6377A6B7" w14:textId="7770EBAA" w:rsidR="00EA25C5" w:rsidRPr="00EA25C5" w:rsidRDefault="00EA25C5" w:rsidP="00EA25C5">
      <w:pPr>
        <w:spacing w:after="0"/>
        <w:rPr>
          <w:i/>
          <w:iCs/>
          <w:u w:val="single"/>
        </w:rPr>
      </w:pPr>
      <w:r w:rsidRPr="00EA25C5">
        <w:rPr>
          <w:i/>
          <w:iCs/>
          <w:u w:val="single"/>
        </w:rPr>
        <w:t xml:space="preserve">5.1 </w:t>
      </w:r>
      <w:r w:rsidR="00F50966" w:rsidRPr="00EA25C5">
        <w:rPr>
          <w:i/>
          <w:iCs/>
          <w:u w:val="single"/>
        </w:rPr>
        <w:t>Liste i henhold til lovens § 142, stk. 1 – medarbejdere, der overføres</w:t>
      </w:r>
    </w:p>
    <w:p w14:paraId="3D434854" w14:textId="41B32C3A" w:rsidR="00F50966" w:rsidRPr="00EA25C5" w:rsidRDefault="00EA25C5" w:rsidP="00EA25C5">
      <w:pPr>
        <w:spacing w:after="0"/>
        <w:rPr>
          <w:i/>
          <w:iCs/>
          <w:u w:val="single"/>
        </w:rPr>
      </w:pPr>
      <w:r w:rsidRPr="00EA25C5">
        <w:rPr>
          <w:i/>
          <w:iCs/>
          <w:u w:val="single"/>
        </w:rPr>
        <w:t xml:space="preserve">5.2 </w:t>
      </w:r>
      <w:r w:rsidR="00F50966" w:rsidRPr="00EA25C5">
        <w:rPr>
          <w:i/>
          <w:iCs/>
          <w:u w:val="single"/>
        </w:rPr>
        <w:t xml:space="preserve">Liste i henhold til lovens § 142, stk. 2 – medarbejdere, der </w:t>
      </w:r>
      <w:r w:rsidR="00F459A4">
        <w:rPr>
          <w:i/>
          <w:iCs/>
          <w:u w:val="single"/>
        </w:rPr>
        <w:t xml:space="preserve">er aftalt, at </w:t>
      </w:r>
      <w:r w:rsidR="00F50966" w:rsidRPr="00EA25C5">
        <w:rPr>
          <w:i/>
          <w:iCs/>
          <w:u w:val="single"/>
        </w:rPr>
        <w:t>der ikke overføres</w:t>
      </w:r>
    </w:p>
    <w:p w14:paraId="593A9DF9" w14:textId="77777777" w:rsidR="00F50966" w:rsidRPr="00F50966" w:rsidRDefault="00F50966" w:rsidP="00F50966">
      <w:pPr>
        <w:spacing w:after="0"/>
        <w:rPr>
          <w:i/>
          <w:iCs/>
        </w:rPr>
      </w:pPr>
    </w:p>
    <w:p w14:paraId="38CB4308" w14:textId="23455751" w:rsidR="0049405B" w:rsidRDefault="00F50966" w:rsidP="0049405B">
      <w:pPr>
        <w:spacing w:after="0"/>
        <w:rPr>
          <w:i/>
          <w:iCs/>
        </w:rPr>
      </w:pPr>
      <w:r w:rsidRPr="00F50966">
        <w:rPr>
          <w:i/>
          <w:iCs/>
        </w:rPr>
        <w:t>For hver medarbejder på listerne under 5.1 angives følgende oplysninger, jf. lovens § 149, stk. 7:</w:t>
      </w:r>
    </w:p>
    <w:p w14:paraId="68D7611F" w14:textId="77777777" w:rsidR="00F50966" w:rsidRPr="00472264" w:rsidRDefault="00F50966" w:rsidP="00472264">
      <w:pPr>
        <w:pStyle w:val="Listeafsnit"/>
        <w:numPr>
          <w:ilvl w:val="0"/>
          <w:numId w:val="22"/>
        </w:numPr>
        <w:spacing w:after="0"/>
        <w:rPr>
          <w:i/>
          <w:iCs/>
        </w:rPr>
      </w:pPr>
      <w:r w:rsidRPr="00472264">
        <w:rPr>
          <w:i/>
          <w:iCs/>
        </w:rPr>
        <w:t>Navn</w:t>
      </w:r>
    </w:p>
    <w:p w14:paraId="29B5CC96" w14:textId="77777777" w:rsidR="00F50966" w:rsidRPr="00DB42D4" w:rsidRDefault="00F50966" w:rsidP="00DB42D4">
      <w:pPr>
        <w:pStyle w:val="Listeafsnit"/>
        <w:numPr>
          <w:ilvl w:val="0"/>
          <w:numId w:val="22"/>
        </w:numPr>
        <w:spacing w:after="0"/>
        <w:rPr>
          <w:i/>
          <w:iCs/>
        </w:rPr>
      </w:pPr>
      <w:r w:rsidRPr="00DB42D4">
        <w:rPr>
          <w:i/>
          <w:iCs/>
        </w:rPr>
        <w:lastRenderedPageBreak/>
        <w:t>Stilling</w:t>
      </w:r>
    </w:p>
    <w:p w14:paraId="3E7666AA" w14:textId="77777777" w:rsidR="00F50966" w:rsidRPr="00DB42D4" w:rsidRDefault="00F50966" w:rsidP="00DB42D4">
      <w:pPr>
        <w:pStyle w:val="Listeafsnit"/>
        <w:numPr>
          <w:ilvl w:val="0"/>
          <w:numId w:val="22"/>
        </w:numPr>
        <w:spacing w:after="0"/>
        <w:rPr>
          <w:i/>
          <w:iCs/>
        </w:rPr>
      </w:pPr>
      <w:r w:rsidRPr="00DB42D4">
        <w:rPr>
          <w:i/>
          <w:iCs/>
        </w:rPr>
        <w:t>Uddannelse</w:t>
      </w:r>
    </w:p>
    <w:p w14:paraId="5F4D6F3B" w14:textId="77777777" w:rsidR="00F50966" w:rsidRPr="00DB42D4" w:rsidRDefault="00F50966" w:rsidP="00DB42D4">
      <w:pPr>
        <w:pStyle w:val="Listeafsnit"/>
        <w:numPr>
          <w:ilvl w:val="0"/>
          <w:numId w:val="22"/>
        </w:numPr>
        <w:spacing w:after="0"/>
        <w:rPr>
          <w:i/>
          <w:iCs/>
        </w:rPr>
      </w:pPr>
      <w:r w:rsidRPr="00DB42D4">
        <w:rPr>
          <w:i/>
          <w:iCs/>
        </w:rPr>
        <w:t>Arbejdsopgaver</w:t>
      </w:r>
    </w:p>
    <w:p w14:paraId="38B124B8" w14:textId="77777777" w:rsidR="00F50966" w:rsidRDefault="00F50966" w:rsidP="00DB42D4">
      <w:pPr>
        <w:pStyle w:val="Listeafsnit"/>
        <w:numPr>
          <w:ilvl w:val="0"/>
          <w:numId w:val="22"/>
        </w:numPr>
        <w:spacing w:after="0"/>
        <w:rPr>
          <w:i/>
          <w:iCs/>
        </w:rPr>
      </w:pPr>
      <w:r w:rsidRPr="00DB42D4">
        <w:rPr>
          <w:i/>
          <w:iCs/>
        </w:rPr>
        <w:t>Lønmæssige forhold</w:t>
      </w:r>
    </w:p>
    <w:p w14:paraId="569115C7" w14:textId="54C5E67D" w:rsidR="00E26E8F" w:rsidRDefault="00E26E8F" w:rsidP="00DB42D4">
      <w:pPr>
        <w:pStyle w:val="Listeafsnit"/>
        <w:numPr>
          <w:ilvl w:val="0"/>
          <w:numId w:val="22"/>
        </w:numPr>
        <w:spacing w:after="0"/>
        <w:rPr>
          <w:i/>
          <w:iCs/>
        </w:rPr>
      </w:pPr>
      <w:r>
        <w:rPr>
          <w:i/>
          <w:iCs/>
        </w:rPr>
        <w:t>Overenskomst (angivet med præcist navn)</w:t>
      </w:r>
    </w:p>
    <w:p w14:paraId="42B491BD" w14:textId="2813EDBB" w:rsidR="00E26E8F" w:rsidRDefault="00E26E8F" w:rsidP="00DB42D4">
      <w:pPr>
        <w:pStyle w:val="Listeafsnit"/>
        <w:numPr>
          <w:ilvl w:val="0"/>
          <w:numId w:val="22"/>
        </w:numPr>
        <w:spacing w:after="0"/>
        <w:rPr>
          <w:i/>
          <w:iCs/>
        </w:rPr>
      </w:pPr>
      <w:r>
        <w:rPr>
          <w:i/>
          <w:iCs/>
        </w:rPr>
        <w:t>Beskæftigelsesgrad</w:t>
      </w:r>
    </w:p>
    <w:p w14:paraId="0446E21B" w14:textId="4044D079" w:rsidR="00E26E8F" w:rsidRPr="00DB42D4" w:rsidRDefault="00E26E8F" w:rsidP="00DB42D4">
      <w:pPr>
        <w:pStyle w:val="Listeafsnit"/>
        <w:numPr>
          <w:ilvl w:val="0"/>
          <w:numId w:val="22"/>
        </w:numPr>
        <w:spacing w:after="0"/>
        <w:rPr>
          <w:i/>
          <w:iCs/>
        </w:rPr>
      </w:pPr>
      <w:r>
        <w:rPr>
          <w:i/>
          <w:iCs/>
        </w:rPr>
        <w:t>Markering af</w:t>
      </w:r>
      <w:r w:rsidR="00FC2FEE">
        <w:rPr>
          <w:i/>
          <w:iCs/>
        </w:rPr>
        <w:t xml:space="preserve"> </w:t>
      </w:r>
      <w:r>
        <w:rPr>
          <w:i/>
          <w:iCs/>
        </w:rPr>
        <w:t>tjeneste</w:t>
      </w:r>
      <w:r w:rsidR="00AB614C">
        <w:rPr>
          <w:i/>
          <w:iCs/>
        </w:rPr>
        <w:t>mandsansættelse</w:t>
      </w:r>
    </w:p>
    <w:p w14:paraId="1E1BFB55" w14:textId="17C9C8E0" w:rsidR="0091025A" w:rsidRDefault="0091025A" w:rsidP="0091025A">
      <w:pPr>
        <w:spacing w:after="0"/>
        <w:rPr>
          <w:i/>
          <w:iCs/>
          <w:highlight w:val="yellow"/>
        </w:rPr>
      </w:pPr>
    </w:p>
    <w:p w14:paraId="3310F62E" w14:textId="7C2FA537" w:rsidR="003D0DFC" w:rsidRDefault="003D0DFC" w:rsidP="003D0DFC">
      <w:pPr>
        <w:spacing w:after="0"/>
        <w:rPr>
          <w:i/>
          <w:iCs/>
        </w:rPr>
      </w:pPr>
      <w:r w:rsidRPr="00F50966">
        <w:rPr>
          <w:i/>
          <w:iCs/>
        </w:rPr>
        <w:t>For hver medarbejder på listerne under 5.</w:t>
      </w:r>
      <w:r>
        <w:rPr>
          <w:i/>
          <w:iCs/>
        </w:rPr>
        <w:t xml:space="preserve">2, er der i den endelige delingsaftale alene behov for oplysninger, som </w:t>
      </w:r>
      <w:r w:rsidR="002E0A0A">
        <w:rPr>
          <w:i/>
          <w:iCs/>
        </w:rPr>
        <w:t>entydigt kan identificere de pågældende.</w:t>
      </w:r>
    </w:p>
    <w:p w14:paraId="26675359" w14:textId="77777777" w:rsidR="003D0DFC" w:rsidRDefault="003D0DFC" w:rsidP="003D0DFC">
      <w:pPr>
        <w:spacing w:after="0"/>
        <w:rPr>
          <w:i/>
          <w:iCs/>
        </w:rPr>
      </w:pPr>
    </w:p>
    <w:p w14:paraId="391FF734" w14:textId="0E8367F4" w:rsidR="00C56EBD" w:rsidRPr="00540432" w:rsidRDefault="00B820F4" w:rsidP="0049405B">
      <w:pPr>
        <w:spacing w:after="0"/>
      </w:pPr>
      <w:r w:rsidRPr="00540432">
        <w:t>Hvis der er tjenestemænd, som overflyttes, skal parterne være opmærksomme på at</w:t>
      </w:r>
      <w:r w:rsidR="00E86658">
        <w:t xml:space="preserve"> indgå</w:t>
      </w:r>
      <w:r w:rsidR="00540432" w:rsidRPr="00540432">
        <w:t xml:space="preserve"> aftale</w:t>
      </w:r>
      <w:r w:rsidR="00E86658">
        <w:t xml:space="preserve"> om</w:t>
      </w:r>
      <w:r w:rsidR="00540432" w:rsidRPr="00540432">
        <w:t xml:space="preserve"> at</w:t>
      </w:r>
      <w:r w:rsidRPr="00540432">
        <w:t xml:space="preserve"> anvende lovens grundmodel for overførsel, inkl. håndtering af pension eller </w:t>
      </w:r>
      <w:r w:rsidR="00540432" w:rsidRPr="00540432">
        <w:t xml:space="preserve">tage stilling til, om </w:t>
      </w:r>
      <w:r w:rsidRPr="00540432">
        <w:t>parterne ønsker at aftale noget andet.</w:t>
      </w:r>
      <w:r w:rsidR="00540432" w:rsidRPr="00540432">
        <w:t xml:space="preserve"> </w:t>
      </w:r>
    </w:p>
    <w:p w14:paraId="05CF7B68" w14:textId="77777777" w:rsidR="003D0DFC" w:rsidRDefault="003D0DFC" w:rsidP="0049405B">
      <w:pPr>
        <w:spacing w:after="0"/>
      </w:pPr>
    </w:p>
    <w:p w14:paraId="73C601F5" w14:textId="62996007" w:rsidR="002E0A0A" w:rsidRDefault="002E0A0A" w:rsidP="0049405B">
      <w:pPr>
        <w:spacing w:after="0"/>
      </w:pPr>
      <w:r>
        <w:t>De oplysninger, som aftaleudkastet skal indeholde om den ansatte skal forstås i overensstemmelse med offentlighedslovens § 21, stk. 3, 1. pkt., idet dog tjenesterejser ikke er omfattet. Oplysningerne skal tjene til at belyse, hvilken ansat og hvilke økonomiske forpligtelser regionen i givet fald vil overtage som følge af</w:t>
      </w:r>
      <w:r w:rsidR="0070574D">
        <w:t xml:space="preserve"> opgaveoverførslen</w:t>
      </w:r>
      <w:r w:rsidR="0012018E">
        <w:t>, jf. bemærkningerne til § 149, stk. 7.</w:t>
      </w:r>
    </w:p>
    <w:p w14:paraId="48B54DB4" w14:textId="77777777" w:rsidR="0012018E" w:rsidRDefault="0012018E" w:rsidP="0049405B">
      <w:pPr>
        <w:spacing w:after="0"/>
      </w:pPr>
    </w:p>
    <w:p w14:paraId="0E1A5010" w14:textId="4B7FC406" w:rsidR="0012018E" w:rsidRDefault="0012018E" w:rsidP="0049405B">
      <w:pPr>
        <w:spacing w:after="0"/>
      </w:pPr>
      <w:r>
        <w:t xml:space="preserve">I relation til lønoplysninger opfordres de lokale parter til at drøfte, hvilke oplysninger og tal, der bedst opfylder formålet, De lønmæssige forhold kan fx oplyses som enten årsløn eller månedsløn. </w:t>
      </w:r>
    </w:p>
    <w:p w14:paraId="438AAA8E" w14:textId="77777777" w:rsidR="0012018E" w:rsidRDefault="0012018E" w:rsidP="0049405B">
      <w:pPr>
        <w:spacing w:after="0"/>
      </w:pPr>
    </w:p>
    <w:p w14:paraId="6DADA33E" w14:textId="0C61149F" w:rsidR="0012018E" w:rsidRPr="00540432" w:rsidRDefault="0012018E" w:rsidP="0049405B">
      <w:pPr>
        <w:spacing w:after="0"/>
      </w:pPr>
      <w:r>
        <w:t xml:space="preserve">Overenskomstforhold bør ikke nødvendigvis anføres ud fra hver enkelt ansat. Det kan ligeledes anføres som overskrift for den enkelte gruppe, hvorefter de enkelte medarbejdere anføres under overskriften. </w:t>
      </w:r>
    </w:p>
    <w:p w14:paraId="0453975F" w14:textId="77777777" w:rsidR="00C56EBD" w:rsidRPr="0049405B" w:rsidRDefault="00C56EBD" w:rsidP="00C56EBD">
      <w:pPr>
        <w:spacing w:after="0"/>
        <w:rPr>
          <w:i/>
          <w:iCs/>
        </w:rPr>
      </w:pPr>
    </w:p>
    <w:p w14:paraId="73071564" w14:textId="77777777" w:rsidR="00791EB0" w:rsidRPr="00791EB0" w:rsidRDefault="00F50966" w:rsidP="00791EB0">
      <w:pPr>
        <w:spacing w:after="0"/>
        <w:rPr>
          <w:i/>
          <w:iCs/>
        </w:rPr>
      </w:pPr>
      <w:bookmarkStart w:id="4" w:name="_Hlk210995261"/>
      <w:r w:rsidRPr="00791EB0">
        <w:rPr>
          <w:i/>
          <w:iCs/>
          <w:u w:val="single"/>
        </w:rPr>
        <w:t>5.3 Samarbejde om overførsel af medarbejdere</w:t>
      </w:r>
      <w:r w:rsidR="0049405B" w:rsidRPr="00791EB0">
        <w:rPr>
          <w:i/>
          <w:iCs/>
          <w:u w:val="single"/>
        </w:rPr>
        <w:t>:</w:t>
      </w:r>
    </w:p>
    <w:bookmarkEnd w:id="4"/>
    <w:p w14:paraId="22DEBC51" w14:textId="6DF1DF0E" w:rsidR="00EA25C5" w:rsidRDefault="00F50966" w:rsidP="003C6F05">
      <w:pPr>
        <w:pStyle w:val="Listeafsnit"/>
        <w:numPr>
          <w:ilvl w:val="0"/>
          <w:numId w:val="32"/>
        </w:numPr>
        <w:spacing w:after="0"/>
        <w:rPr>
          <w:i/>
          <w:iCs/>
        </w:rPr>
      </w:pPr>
      <w:r w:rsidRPr="00EA25C5">
        <w:rPr>
          <w:i/>
          <w:iCs/>
        </w:rPr>
        <w:t>Det bør aftales, hvordan kommunen informerer regionen om ændringer i listen over medarbejdere, der skal overføres med henblik på stillingtagen til genbesættelse, jf. lovens § 158, stk. 4.</w:t>
      </w:r>
    </w:p>
    <w:p w14:paraId="0D87552C" w14:textId="3DD80258" w:rsidR="00F50966" w:rsidRPr="00EA25C5" w:rsidRDefault="00F50966" w:rsidP="003C6F05">
      <w:pPr>
        <w:pStyle w:val="Listeafsnit"/>
        <w:numPr>
          <w:ilvl w:val="0"/>
          <w:numId w:val="32"/>
        </w:numPr>
        <w:spacing w:after="0"/>
        <w:rPr>
          <w:i/>
          <w:iCs/>
        </w:rPr>
      </w:pPr>
      <w:r w:rsidRPr="00EA25C5">
        <w:rPr>
          <w:i/>
          <w:iCs/>
        </w:rPr>
        <w:t>I henhold til Lov om virksomhedsoverdragelse § 5 skal kommunen underrette de ansatte, der skal overføres om:</w:t>
      </w:r>
    </w:p>
    <w:p w14:paraId="1BDB22CC" w14:textId="77777777" w:rsidR="00F50966" w:rsidRPr="00DB42D4" w:rsidRDefault="00F50966" w:rsidP="003C6F05">
      <w:pPr>
        <w:pStyle w:val="Listeafsnit"/>
        <w:numPr>
          <w:ilvl w:val="1"/>
          <w:numId w:val="32"/>
        </w:numPr>
        <w:spacing w:after="0"/>
        <w:rPr>
          <w:i/>
          <w:iCs/>
        </w:rPr>
      </w:pPr>
      <w:r w:rsidRPr="00DB42D4">
        <w:rPr>
          <w:i/>
          <w:iCs/>
        </w:rPr>
        <w:t>datoen eller den foreslåede dato for overdragelsen</w:t>
      </w:r>
    </w:p>
    <w:p w14:paraId="40D2AD39" w14:textId="77777777" w:rsidR="00F50966" w:rsidRPr="00DB42D4" w:rsidRDefault="00F50966" w:rsidP="003C6F05">
      <w:pPr>
        <w:pStyle w:val="Listeafsnit"/>
        <w:numPr>
          <w:ilvl w:val="1"/>
          <w:numId w:val="32"/>
        </w:numPr>
        <w:spacing w:after="0"/>
        <w:rPr>
          <w:i/>
          <w:iCs/>
        </w:rPr>
      </w:pPr>
      <w:r w:rsidRPr="00DB42D4">
        <w:rPr>
          <w:i/>
          <w:iCs/>
        </w:rPr>
        <w:t>årsagen til overdragelsen</w:t>
      </w:r>
    </w:p>
    <w:p w14:paraId="6D4C37A0" w14:textId="77777777" w:rsidR="00F50966" w:rsidRPr="00DB42D4" w:rsidRDefault="00F50966" w:rsidP="003C6F05">
      <w:pPr>
        <w:pStyle w:val="Listeafsnit"/>
        <w:numPr>
          <w:ilvl w:val="1"/>
          <w:numId w:val="32"/>
        </w:numPr>
        <w:spacing w:after="0"/>
        <w:rPr>
          <w:i/>
          <w:iCs/>
        </w:rPr>
      </w:pPr>
      <w:r w:rsidRPr="00DB42D4">
        <w:rPr>
          <w:i/>
          <w:iCs/>
        </w:rPr>
        <w:t>overdragelsens juridiske, økonomiske og sociale følger for lønmodtagerne og</w:t>
      </w:r>
    </w:p>
    <w:p w14:paraId="1FFEDFC0" w14:textId="77777777" w:rsidR="00F50966" w:rsidRPr="00DB42D4" w:rsidRDefault="00F50966" w:rsidP="003C6F05">
      <w:pPr>
        <w:pStyle w:val="Listeafsnit"/>
        <w:numPr>
          <w:ilvl w:val="1"/>
          <w:numId w:val="32"/>
        </w:numPr>
        <w:spacing w:after="0"/>
        <w:rPr>
          <w:i/>
          <w:iCs/>
        </w:rPr>
      </w:pPr>
      <w:r w:rsidRPr="00DB42D4">
        <w:rPr>
          <w:i/>
          <w:iCs/>
        </w:rPr>
        <w:t>eventuelle foranstaltninger for lønmodtagerne</w:t>
      </w:r>
    </w:p>
    <w:p w14:paraId="13B49E12" w14:textId="08280A88" w:rsidR="00EA25C5" w:rsidRDefault="00F50966" w:rsidP="003C6F05">
      <w:pPr>
        <w:pStyle w:val="Listeafsnit"/>
        <w:numPr>
          <w:ilvl w:val="0"/>
          <w:numId w:val="32"/>
        </w:numPr>
        <w:spacing w:after="0"/>
        <w:rPr>
          <w:i/>
          <w:iCs/>
        </w:rPr>
      </w:pPr>
      <w:r w:rsidRPr="00EA25C5">
        <w:rPr>
          <w:i/>
          <w:iCs/>
        </w:rPr>
        <w:t xml:space="preserve">Opfyldelsen af denne informationsforpligtelse forudsætter, at regionen orienterer kommunen om punkt </w:t>
      </w:r>
      <w:proofErr w:type="spellStart"/>
      <w:r w:rsidR="008E2D50">
        <w:rPr>
          <w:i/>
          <w:iCs/>
        </w:rPr>
        <w:t>a-d</w:t>
      </w:r>
      <w:proofErr w:type="spellEnd"/>
      <w:r w:rsidR="008E2D50">
        <w:rPr>
          <w:i/>
          <w:iCs/>
        </w:rPr>
        <w:t xml:space="preserve"> ovenfor.</w:t>
      </w:r>
      <w:r w:rsidRPr="00EA25C5">
        <w:rPr>
          <w:i/>
          <w:iCs/>
        </w:rPr>
        <w:t xml:space="preserve"> Delingsaftalen bør regulere denne orientering. Tilsvarende gælder for kommunens eventuelle forhandlingsforpligtelse efter virksomhedsoverdragelseslovens § 6.</w:t>
      </w:r>
    </w:p>
    <w:p w14:paraId="18707B97" w14:textId="77777777" w:rsidR="00EA25C5" w:rsidRDefault="00EA25C5" w:rsidP="003C6F05">
      <w:pPr>
        <w:pStyle w:val="Listeafsnit"/>
        <w:numPr>
          <w:ilvl w:val="0"/>
          <w:numId w:val="32"/>
        </w:numPr>
        <w:spacing w:after="0"/>
        <w:rPr>
          <w:i/>
          <w:iCs/>
        </w:rPr>
      </w:pPr>
      <w:r>
        <w:rPr>
          <w:i/>
          <w:iCs/>
        </w:rPr>
        <w:t>H</w:t>
      </w:r>
      <w:r w:rsidR="00F50966" w:rsidRPr="00EA25C5">
        <w:rPr>
          <w:i/>
          <w:iCs/>
        </w:rPr>
        <w:t>vis regionen har til hensigt at gennemføre almindelige eller væsentlige vilkårsændringer og ønsker kommunens bistand til at afgive varslingerne, inden overdragelsen sker, bør det aftales her. Det bør præciseres, at varslingen sker på regionens ansvar og forudsætter, at regionen leverer de varslinger, der skal gennemføres over for medarbejderne</w:t>
      </w:r>
      <w:r>
        <w:rPr>
          <w:i/>
          <w:iCs/>
        </w:rPr>
        <w:t>.</w:t>
      </w:r>
    </w:p>
    <w:p w14:paraId="439411D6" w14:textId="7F3D7A25" w:rsidR="00F50966" w:rsidRPr="00EA25C5" w:rsidRDefault="00104BC8" w:rsidP="003C6F05">
      <w:pPr>
        <w:pStyle w:val="Listeafsnit"/>
        <w:numPr>
          <w:ilvl w:val="0"/>
          <w:numId w:val="32"/>
        </w:numPr>
        <w:spacing w:after="0"/>
        <w:rPr>
          <w:i/>
          <w:iCs/>
        </w:rPr>
      </w:pPr>
      <w:r>
        <w:rPr>
          <w:i/>
          <w:iCs/>
        </w:rPr>
        <w:t xml:space="preserve">Overførsel af medarbejdere </w:t>
      </w:r>
      <w:r w:rsidRPr="00EA25C5">
        <w:rPr>
          <w:i/>
          <w:iCs/>
        </w:rPr>
        <w:t>den 1</w:t>
      </w:r>
      <w:r w:rsidR="00B820F4">
        <w:rPr>
          <w:i/>
          <w:iCs/>
        </w:rPr>
        <w:t>.</w:t>
      </w:r>
      <w:r w:rsidRPr="00EA25C5">
        <w:rPr>
          <w:i/>
          <w:iCs/>
        </w:rPr>
        <w:t xml:space="preserve"> januar 2027</w:t>
      </w:r>
      <w:r>
        <w:rPr>
          <w:i/>
          <w:iCs/>
        </w:rPr>
        <w:t xml:space="preserve"> medfører også</w:t>
      </w:r>
      <w:r w:rsidR="0091025A">
        <w:rPr>
          <w:rStyle w:val="Kommentarhenvisning"/>
        </w:rPr>
        <w:t xml:space="preserve"> </w:t>
      </w:r>
      <w:r w:rsidR="0091025A">
        <w:rPr>
          <w:i/>
          <w:iCs/>
        </w:rPr>
        <w:t>vid</w:t>
      </w:r>
      <w:r w:rsidR="00F50966" w:rsidRPr="00EA25C5">
        <w:rPr>
          <w:i/>
          <w:iCs/>
        </w:rPr>
        <w:t>eregivelse af personaleakterne</w:t>
      </w:r>
      <w:r w:rsidR="0091025A">
        <w:rPr>
          <w:i/>
          <w:iCs/>
        </w:rPr>
        <w:t>.</w:t>
      </w:r>
    </w:p>
    <w:bookmarkEnd w:id="3"/>
    <w:p w14:paraId="4207C2AC" w14:textId="25C42A52" w:rsidR="00CB0EB3" w:rsidRPr="00B539DB" w:rsidRDefault="002E0A0A" w:rsidP="00A77755">
      <w:pPr>
        <w:pStyle w:val="Listeafsnit"/>
        <w:spacing w:after="0"/>
        <w:rPr>
          <w:b/>
          <w:bCs/>
        </w:rPr>
      </w:pPr>
      <w:r w:rsidRPr="00B539DB">
        <w:rPr>
          <w:i/>
          <w:iCs/>
        </w:rPr>
        <w:t>Det kan aftales, hvordan samarbejdet omkring kommunens orientering af regionen omkring indgåede lokal</w:t>
      </w:r>
      <w:r w:rsidR="003B2911" w:rsidRPr="00B539DB">
        <w:rPr>
          <w:i/>
          <w:iCs/>
        </w:rPr>
        <w:t>e</w:t>
      </w:r>
      <w:r w:rsidRPr="00B539DB">
        <w:rPr>
          <w:i/>
          <w:iCs/>
        </w:rPr>
        <w:t xml:space="preserve"> aftaler håndteres, ligesom processen omkring overdragelse af personalemapper kan oplistes.</w:t>
      </w:r>
    </w:p>
    <w:p w14:paraId="587E664B" w14:textId="77777777" w:rsidR="00993BE0" w:rsidRDefault="00993BE0" w:rsidP="0091025A">
      <w:pPr>
        <w:pStyle w:val="Sidehoved"/>
        <w:tabs>
          <w:tab w:val="clear" w:pos="4819"/>
          <w:tab w:val="clear" w:pos="9638"/>
          <w:tab w:val="left" w:pos="425"/>
          <w:tab w:val="left" w:pos="851"/>
        </w:tabs>
        <w:spacing w:line="240" w:lineRule="auto"/>
        <w:rPr>
          <w:rFonts w:asciiTheme="minorHAnsi" w:eastAsiaTheme="minorHAnsi" w:hAnsiTheme="minorHAnsi" w:cstheme="minorBidi"/>
          <w:b/>
          <w:bCs/>
          <w:kern w:val="2"/>
          <w:sz w:val="22"/>
          <w:szCs w:val="22"/>
          <w:lang w:eastAsia="en-US"/>
          <w14:ligatures w14:val="standardContextual"/>
        </w:rPr>
      </w:pPr>
    </w:p>
    <w:p w14:paraId="72D5DEB1" w14:textId="2ECBB8D4" w:rsidR="00605959" w:rsidRPr="00605959" w:rsidRDefault="00812046" w:rsidP="0091025A">
      <w:pPr>
        <w:pStyle w:val="Sidehoved"/>
        <w:tabs>
          <w:tab w:val="clear" w:pos="4819"/>
          <w:tab w:val="clear" w:pos="9638"/>
          <w:tab w:val="left" w:pos="425"/>
          <w:tab w:val="left" w:pos="851"/>
        </w:tabs>
        <w:spacing w:line="240" w:lineRule="auto"/>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lastRenderedPageBreak/>
        <w:t>6</w:t>
      </w:r>
      <w:r w:rsidR="00364FA2" w:rsidRPr="00605959">
        <w:rPr>
          <w:rFonts w:asciiTheme="minorHAnsi" w:eastAsiaTheme="minorHAnsi" w:hAnsiTheme="minorHAnsi" w:cstheme="minorBidi"/>
          <w:b/>
          <w:bCs/>
          <w:kern w:val="2"/>
          <w:sz w:val="22"/>
          <w:szCs w:val="22"/>
          <w:lang w:eastAsia="en-US"/>
          <w14:ligatures w14:val="standardContextual"/>
        </w:rPr>
        <w:t>.</w:t>
      </w:r>
      <w:r w:rsidR="00370C88">
        <w:rPr>
          <w:rFonts w:asciiTheme="minorHAnsi" w:eastAsiaTheme="minorHAnsi" w:hAnsiTheme="minorHAnsi" w:cstheme="minorBidi"/>
          <w:b/>
          <w:bCs/>
          <w:kern w:val="2"/>
          <w:sz w:val="22"/>
          <w:szCs w:val="22"/>
          <w:lang w:eastAsia="en-US"/>
          <w14:ligatures w14:val="standardContextual"/>
        </w:rPr>
        <w:t xml:space="preserve"> </w:t>
      </w:r>
      <w:r w:rsidR="00364FA2" w:rsidRPr="00605959">
        <w:rPr>
          <w:rFonts w:asciiTheme="minorHAnsi" w:eastAsiaTheme="minorHAnsi" w:hAnsiTheme="minorHAnsi" w:cstheme="minorBidi"/>
          <w:b/>
          <w:bCs/>
          <w:kern w:val="2"/>
          <w:sz w:val="22"/>
          <w:szCs w:val="22"/>
          <w:lang w:eastAsia="en-US"/>
          <w14:ligatures w14:val="standardContextual"/>
        </w:rPr>
        <w:t>Særlige forhold</w:t>
      </w:r>
      <w:r w:rsidR="00605959" w:rsidRPr="00605959">
        <w:rPr>
          <w:rFonts w:asciiTheme="minorHAnsi" w:eastAsiaTheme="minorHAnsi" w:hAnsiTheme="minorHAnsi" w:cstheme="minorBidi"/>
          <w:b/>
          <w:bCs/>
          <w:kern w:val="2"/>
          <w:sz w:val="22"/>
          <w:szCs w:val="22"/>
          <w:lang w:eastAsia="en-US"/>
          <w14:ligatures w14:val="standardContextual"/>
        </w:rPr>
        <w:t xml:space="preserve"> </w:t>
      </w:r>
    </w:p>
    <w:p w14:paraId="55ACA859" w14:textId="7AC8A370" w:rsidR="00605959" w:rsidRPr="00605959" w:rsidRDefault="00605959" w:rsidP="0091025A">
      <w:pPr>
        <w:pStyle w:val="Sidehoved"/>
        <w:tabs>
          <w:tab w:val="clear" w:pos="4819"/>
          <w:tab w:val="clear" w:pos="9638"/>
          <w:tab w:val="left" w:pos="425"/>
          <w:tab w:val="left" w:pos="851"/>
        </w:tabs>
        <w:spacing w:line="240" w:lineRule="auto"/>
        <w:rPr>
          <w:rFonts w:asciiTheme="minorHAnsi" w:eastAsiaTheme="minorHAnsi" w:hAnsiTheme="minorHAnsi" w:cstheme="minorBidi"/>
          <w:i/>
          <w:iCs/>
          <w:kern w:val="2"/>
          <w:sz w:val="22"/>
          <w:szCs w:val="22"/>
          <w:lang w:eastAsia="en-US"/>
          <w14:ligatures w14:val="standardContextual"/>
        </w:rPr>
      </w:pPr>
      <w:r w:rsidRPr="00605959">
        <w:rPr>
          <w:rFonts w:asciiTheme="minorHAnsi" w:eastAsiaTheme="minorHAnsi" w:hAnsiTheme="minorHAnsi" w:cstheme="minorBidi"/>
          <w:i/>
          <w:iCs/>
          <w:kern w:val="2"/>
          <w:sz w:val="22"/>
          <w:szCs w:val="22"/>
          <w:lang w:eastAsia="en-US"/>
          <w14:ligatures w14:val="standardContextual"/>
        </w:rPr>
        <w:t xml:space="preserve">Dette afsnit </w:t>
      </w:r>
      <w:r w:rsidR="008747B4">
        <w:rPr>
          <w:rFonts w:asciiTheme="minorHAnsi" w:eastAsiaTheme="minorHAnsi" w:hAnsiTheme="minorHAnsi" w:cstheme="minorBidi"/>
          <w:i/>
          <w:iCs/>
          <w:kern w:val="2"/>
          <w:sz w:val="22"/>
          <w:szCs w:val="22"/>
          <w:lang w:eastAsia="en-US"/>
          <w14:ligatures w14:val="standardContextual"/>
        </w:rPr>
        <w:t xml:space="preserve">kan </w:t>
      </w:r>
      <w:r w:rsidRPr="00605959">
        <w:rPr>
          <w:rFonts w:asciiTheme="minorHAnsi" w:eastAsiaTheme="minorHAnsi" w:hAnsiTheme="minorHAnsi" w:cstheme="minorBidi"/>
          <w:i/>
          <w:iCs/>
          <w:kern w:val="2"/>
          <w:sz w:val="22"/>
          <w:szCs w:val="22"/>
          <w:lang w:eastAsia="en-US"/>
          <w14:ligatures w14:val="standardContextual"/>
        </w:rPr>
        <w:t>indeholde beskrivelse</w:t>
      </w:r>
      <w:r w:rsidR="008747B4">
        <w:rPr>
          <w:rFonts w:asciiTheme="minorHAnsi" w:eastAsiaTheme="minorHAnsi" w:hAnsiTheme="minorHAnsi" w:cstheme="minorBidi"/>
          <w:i/>
          <w:iCs/>
          <w:kern w:val="2"/>
          <w:sz w:val="22"/>
          <w:szCs w:val="22"/>
          <w:lang w:eastAsia="en-US"/>
          <w14:ligatures w14:val="standardContextual"/>
        </w:rPr>
        <w:t>r</w:t>
      </w:r>
      <w:r w:rsidRPr="00605959">
        <w:rPr>
          <w:rFonts w:asciiTheme="minorHAnsi" w:eastAsiaTheme="minorHAnsi" w:hAnsiTheme="minorHAnsi" w:cstheme="minorBidi"/>
          <w:i/>
          <w:iCs/>
          <w:kern w:val="2"/>
          <w:sz w:val="22"/>
          <w:szCs w:val="22"/>
          <w:lang w:eastAsia="en-US"/>
          <w14:ligatures w14:val="standardContextual"/>
        </w:rPr>
        <w:t xml:space="preserve"> af </w:t>
      </w:r>
      <w:r w:rsidR="008747B4">
        <w:rPr>
          <w:rFonts w:asciiTheme="minorHAnsi" w:eastAsiaTheme="minorHAnsi" w:hAnsiTheme="minorHAnsi" w:cstheme="minorBidi"/>
          <w:i/>
          <w:iCs/>
          <w:kern w:val="2"/>
          <w:sz w:val="22"/>
          <w:szCs w:val="22"/>
          <w:lang w:eastAsia="en-US"/>
          <w14:ligatures w14:val="standardContextual"/>
        </w:rPr>
        <w:t xml:space="preserve">eventuelle </w:t>
      </w:r>
      <w:r w:rsidRPr="00605959">
        <w:rPr>
          <w:rFonts w:asciiTheme="minorHAnsi" w:eastAsiaTheme="minorHAnsi" w:hAnsiTheme="minorHAnsi" w:cstheme="minorBidi"/>
          <w:i/>
          <w:iCs/>
          <w:kern w:val="2"/>
          <w:sz w:val="22"/>
          <w:szCs w:val="22"/>
          <w:lang w:eastAsia="en-US"/>
          <w14:ligatures w14:val="standardContextual"/>
        </w:rPr>
        <w:t xml:space="preserve">særlige forhold, herunder: </w:t>
      </w:r>
    </w:p>
    <w:p w14:paraId="37A1A98B" w14:textId="2EED7D11" w:rsidR="00ED685A" w:rsidRPr="00472B58" w:rsidRDefault="00ED685A" w:rsidP="00472B58">
      <w:pPr>
        <w:pStyle w:val="Sidehoved"/>
        <w:numPr>
          <w:ilvl w:val="0"/>
          <w:numId w:val="13"/>
        </w:numPr>
        <w:tabs>
          <w:tab w:val="clear" w:pos="4819"/>
          <w:tab w:val="clear" w:pos="9638"/>
          <w:tab w:val="left" w:pos="425"/>
          <w:tab w:val="left" w:pos="851"/>
        </w:tabs>
        <w:spacing w:line="240" w:lineRule="auto"/>
        <w:rPr>
          <w:rFonts w:asciiTheme="minorHAnsi" w:eastAsiaTheme="minorHAnsi" w:hAnsiTheme="minorHAnsi" w:cstheme="minorBidi"/>
          <w:i/>
          <w:iCs/>
          <w:kern w:val="2"/>
          <w:sz w:val="22"/>
          <w:szCs w:val="22"/>
          <w:lang w:eastAsia="en-US"/>
          <w14:ligatures w14:val="standardContextual"/>
        </w:rPr>
      </w:pPr>
      <w:r w:rsidRPr="0091025A">
        <w:rPr>
          <w:rFonts w:asciiTheme="minorHAnsi" w:eastAsiaTheme="minorHAnsi" w:hAnsiTheme="minorHAnsi" w:cstheme="minorBidi"/>
          <w:i/>
          <w:iCs/>
          <w:kern w:val="2"/>
          <w:sz w:val="22"/>
          <w:szCs w:val="22"/>
          <w:lang w:eastAsia="en-US"/>
          <w14:ligatures w14:val="standardContextual"/>
        </w:rPr>
        <w:t>Forslag til organiseringen af overførsel.</w:t>
      </w:r>
    </w:p>
    <w:p w14:paraId="5BC33FAA" w14:textId="2B3ADC16" w:rsidR="00605959" w:rsidRPr="00605959" w:rsidRDefault="00605959" w:rsidP="0091025A">
      <w:pPr>
        <w:pStyle w:val="Sidehoved"/>
        <w:numPr>
          <w:ilvl w:val="0"/>
          <w:numId w:val="13"/>
        </w:numPr>
        <w:tabs>
          <w:tab w:val="clear" w:pos="4819"/>
          <w:tab w:val="clear" w:pos="9638"/>
          <w:tab w:val="left" w:pos="425"/>
          <w:tab w:val="left" w:pos="851"/>
        </w:tabs>
        <w:spacing w:line="240" w:lineRule="auto"/>
        <w:rPr>
          <w:rFonts w:asciiTheme="minorHAnsi" w:eastAsiaTheme="minorHAnsi" w:hAnsiTheme="minorHAnsi" w:cstheme="minorBidi"/>
          <w:i/>
          <w:iCs/>
          <w:kern w:val="2"/>
          <w:sz w:val="22"/>
          <w:szCs w:val="22"/>
          <w:lang w:eastAsia="en-US"/>
          <w14:ligatures w14:val="standardContextual"/>
        </w:rPr>
      </w:pPr>
      <w:r w:rsidRPr="00605959">
        <w:rPr>
          <w:rFonts w:asciiTheme="minorHAnsi" w:eastAsiaTheme="minorHAnsi" w:hAnsiTheme="minorHAnsi" w:cstheme="minorBidi"/>
          <w:i/>
          <w:iCs/>
          <w:kern w:val="2"/>
          <w:sz w:val="22"/>
          <w:szCs w:val="22"/>
          <w:lang w:eastAsia="en-US"/>
          <w14:ligatures w14:val="standardContextual"/>
        </w:rPr>
        <w:t>Eventuelle særlige overdragelsesprocedurer vedrørende IT-systemer, arkiver o</w:t>
      </w:r>
      <w:r w:rsidR="004E42F8">
        <w:rPr>
          <w:rFonts w:asciiTheme="minorHAnsi" w:eastAsiaTheme="minorHAnsi" w:hAnsiTheme="minorHAnsi" w:cstheme="minorBidi"/>
          <w:i/>
          <w:iCs/>
          <w:kern w:val="2"/>
          <w:sz w:val="22"/>
          <w:szCs w:val="22"/>
          <w:lang w:eastAsia="en-US"/>
          <w14:ligatures w14:val="standardContextual"/>
        </w:rPr>
        <w:t>g lignende</w:t>
      </w:r>
      <w:r w:rsidRPr="00605959">
        <w:rPr>
          <w:rFonts w:asciiTheme="minorHAnsi" w:eastAsiaTheme="minorHAnsi" w:hAnsiTheme="minorHAnsi" w:cstheme="minorBidi"/>
          <w:i/>
          <w:iCs/>
          <w:kern w:val="2"/>
          <w:sz w:val="22"/>
          <w:szCs w:val="22"/>
          <w:lang w:eastAsia="en-US"/>
          <w14:ligatures w14:val="standardContextual"/>
        </w:rPr>
        <w:t>.</w:t>
      </w:r>
    </w:p>
    <w:p w14:paraId="6870B8E1" w14:textId="2F30EE6D" w:rsidR="00364FA2" w:rsidRDefault="00605959" w:rsidP="000121ED">
      <w:pPr>
        <w:pStyle w:val="Sidehoved"/>
        <w:numPr>
          <w:ilvl w:val="0"/>
          <w:numId w:val="13"/>
        </w:numPr>
        <w:tabs>
          <w:tab w:val="clear" w:pos="4819"/>
          <w:tab w:val="clear" w:pos="9638"/>
          <w:tab w:val="left" w:pos="425"/>
          <w:tab w:val="left" w:pos="851"/>
        </w:tabs>
        <w:spacing w:line="240" w:lineRule="auto"/>
        <w:rPr>
          <w:rFonts w:asciiTheme="minorHAnsi" w:eastAsiaTheme="minorHAnsi" w:hAnsiTheme="minorHAnsi" w:cstheme="minorBidi"/>
          <w:i/>
          <w:iCs/>
          <w:kern w:val="2"/>
          <w:sz w:val="22"/>
          <w:szCs w:val="22"/>
          <w:lang w:eastAsia="en-US"/>
          <w14:ligatures w14:val="standardContextual"/>
        </w:rPr>
      </w:pPr>
      <w:r w:rsidRPr="00605959">
        <w:rPr>
          <w:rFonts w:asciiTheme="minorHAnsi" w:eastAsiaTheme="minorHAnsi" w:hAnsiTheme="minorHAnsi" w:cstheme="minorBidi"/>
          <w:i/>
          <w:iCs/>
          <w:kern w:val="2"/>
          <w:sz w:val="22"/>
          <w:szCs w:val="22"/>
          <w:lang w:eastAsia="en-US"/>
          <w14:ligatures w14:val="standardContextual"/>
        </w:rPr>
        <w:t>Afvigelser fra de generelle principper</w:t>
      </w:r>
      <w:r w:rsidR="00E07F5A">
        <w:rPr>
          <w:rFonts w:asciiTheme="minorHAnsi" w:eastAsiaTheme="minorHAnsi" w:hAnsiTheme="minorHAnsi" w:cstheme="minorBidi"/>
          <w:i/>
          <w:iCs/>
          <w:kern w:val="2"/>
          <w:sz w:val="22"/>
          <w:szCs w:val="22"/>
          <w:lang w:eastAsia="en-US"/>
          <w14:ligatures w14:val="standardContextual"/>
        </w:rPr>
        <w:t xml:space="preserve"> i </w:t>
      </w:r>
      <w:r w:rsidR="00A96B3E">
        <w:rPr>
          <w:rFonts w:asciiTheme="minorHAnsi" w:eastAsiaTheme="minorHAnsi" w:hAnsiTheme="minorHAnsi" w:cstheme="minorBidi"/>
          <w:i/>
          <w:iCs/>
          <w:kern w:val="2"/>
          <w:sz w:val="22"/>
          <w:szCs w:val="22"/>
          <w:lang w:eastAsia="en-US"/>
          <w14:ligatures w14:val="standardContextual"/>
        </w:rPr>
        <w:t>§ 141</w:t>
      </w:r>
      <w:r w:rsidR="004A140F">
        <w:rPr>
          <w:rFonts w:asciiTheme="minorHAnsi" w:eastAsiaTheme="minorHAnsi" w:hAnsiTheme="minorHAnsi" w:cstheme="minorBidi"/>
          <w:i/>
          <w:iCs/>
          <w:kern w:val="2"/>
          <w:sz w:val="22"/>
          <w:szCs w:val="22"/>
          <w:lang w:eastAsia="en-US"/>
          <w14:ligatures w14:val="standardContextual"/>
        </w:rPr>
        <w:t>,</w:t>
      </w:r>
      <w:r w:rsidR="00A96B3E">
        <w:rPr>
          <w:rFonts w:asciiTheme="minorHAnsi" w:eastAsiaTheme="minorHAnsi" w:hAnsiTheme="minorHAnsi" w:cstheme="minorBidi"/>
          <w:i/>
          <w:iCs/>
          <w:kern w:val="2"/>
          <w:sz w:val="22"/>
          <w:szCs w:val="22"/>
          <w:lang w:eastAsia="en-US"/>
          <w14:ligatures w14:val="standardContextual"/>
        </w:rPr>
        <w:t xml:space="preserve"> stk. 1 i </w:t>
      </w:r>
      <w:r w:rsidR="00E07F5A">
        <w:rPr>
          <w:rFonts w:asciiTheme="minorHAnsi" w:eastAsiaTheme="minorHAnsi" w:hAnsiTheme="minorHAnsi" w:cstheme="minorBidi"/>
          <w:i/>
          <w:iCs/>
          <w:kern w:val="2"/>
          <w:sz w:val="22"/>
          <w:szCs w:val="22"/>
          <w:lang w:eastAsia="en-US"/>
          <w14:ligatures w14:val="standardContextual"/>
        </w:rPr>
        <w:t>overgangsloven</w:t>
      </w:r>
      <w:r w:rsidRPr="00605959">
        <w:rPr>
          <w:rFonts w:asciiTheme="minorHAnsi" w:eastAsiaTheme="minorHAnsi" w:hAnsiTheme="minorHAnsi" w:cstheme="minorBidi"/>
          <w:i/>
          <w:iCs/>
          <w:kern w:val="2"/>
          <w:sz w:val="22"/>
          <w:szCs w:val="22"/>
          <w:lang w:eastAsia="en-US"/>
          <w14:ligatures w14:val="standardContextual"/>
        </w:rPr>
        <w:t>, herunder særlige aftaler og forhold</w:t>
      </w:r>
      <w:r>
        <w:rPr>
          <w:rFonts w:asciiTheme="minorHAnsi" w:eastAsiaTheme="minorHAnsi" w:hAnsiTheme="minorHAnsi" w:cstheme="minorBidi"/>
          <w:i/>
          <w:iCs/>
          <w:kern w:val="2"/>
          <w:sz w:val="22"/>
          <w:szCs w:val="22"/>
          <w:lang w:eastAsia="en-US"/>
          <w14:ligatures w14:val="standardContextual"/>
        </w:rPr>
        <w:t>,</w:t>
      </w:r>
      <w:r w:rsidRPr="00605959">
        <w:rPr>
          <w:rFonts w:asciiTheme="minorHAnsi" w:eastAsiaTheme="minorHAnsi" w:hAnsiTheme="minorHAnsi" w:cstheme="minorBidi"/>
          <w:i/>
          <w:iCs/>
          <w:kern w:val="2"/>
          <w:sz w:val="22"/>
          <w:szCs w:val="22"/>
          <w:lang w:eastAsia="en-US"/>
          <w14:ligatures w14:val="standardContextual"/>
        </w:rPr>
        <w:t xml:space="preserve"> som </w:t>
      </w:r>
      <w:r>
        <w:rPr>
          <w:rFonts w:asciiTheme="minorHAnsi" w:eastAsiaTheme="minorHAnsi" w:hAnsiTheme="minorHAnsi" w:cstheme="minorBidi"/>
          <w:i/>
          <w:iCs/>
          <w:kern w:val="2"/>
          <w:sz w:val="22"/>
          <w:szCs w:val="22"/>
          <w:lang w:eastAsia="en-US"/>
          <w14:ligatures w14:val="standardContextual"/>
        </w:rPr>
        <w:t xml:space="preserve">parterne </w:t>
      </w:r>
      <w:r w:rsidR="001F3AC2">
        <w:rPr>
          <w:rFonts w:asciiTheme="minorHAnsi" w:eastAsiaTheme="minorHAnsi" w:hAnsiTheme="minorHAnsi" w:cstheme="minorBidi"/>
          <w:i/>
          <w:iCs/>
          <w:kern w:val="2"/>
          <w:sz w:val="22"/>
          <w:szCs w:val="22"/>
          <w:lang w:eastAsia="en-US"/>
          <w14:ligatures w14:val="standardContextual"/>
        </w:rPr>
        <w:t xml:space="preserve">er </w:t>
      </w:r>
      <w:r w:rsidR="001F3AC2" w:rsidRPr="00605959">
        <w:rPr>
          <w:rFonts w:asciiTheme="minorHAnsi" w:eastAsiaTheme="minorHAnsi" w:hAnsiTheme="minorHAnsi" w:cstheme="minorBidi"/>
          <w:i/>
          <w:iCs/>
          <w:kern w:val="2"/>
          <w:sz w:val="22"/>
          <w:szCs w:val="22"/>
          <w:lang w:eastAsia="en-US"/>
          <w14:ligatures w14:val="standardContextual"/>
        </w:rPr>
        <w:t>blevet</w:t>
      </w:r>
      <w:r w:rsidRPr="00605959">
        <w:rPr>
          <w:rFonts w:asciiTheme="minorHAnsi" w:eastAsiaTheme="minorHAnsi" w:hAnsiTheme="minorHAnsi" w:cstheme="minorBidi"/>
          <w:i/>
          <w:iCs/>
          <w:kern w:val="2"/>
          <w:sz w:val="22"/>
          <w:szCs w:val="22"/>
          <w:lang w:eastAsia="en-US"/>
          <w14:ligatures w14:val="standardContextual"/>
        </w:rPr>
        <w:t xml:space="preserve"> </w:t>
      </w:r>
      <w:r w:rsidR="0085766D">
        <w:rPr>
          <w:rFonts w:asciiTheme="minorHAnsi" w:eastAsiaTheme="minorHAnsi" w:hAnsiTheme="minorHAnsi" w:cstheme="minorBidi"/>
          <w:i/>
          <w:iCs/>
          <w:kern w:val="2"/>
          <w:sz w:val="22"/>
          <w:szCs w:val="22"/>
          <w:lang w:eastAsia="en-US"/>
          <w14:ligatures w14:val="standardContextual"/>
        </w:rPr>
        <w:t>enige om</w:t>
      </w:r>
      <w:r w:rsidR="0085766D" w:rsidRPr="00605959">
        <w:rPr>
          <w:rFonts w:asciiTheme="minorHAnsi" w:eastAsiaTheme="minorHAnsi" w:hAnsiTheme="minorHAnsi" w:cstheme="minorBidi"/>
          <w:i/>
          <w:iCs/>
          <w:kern w:val="2"/>
          <w:sz w:val="22"/>
          <w:szCs w:val="22"/>
          <w:lang w:eastAsia="en-US"/>
          <w14:ligatures w14:val="standardContextual"/>
        </w:rPr>
        <w:t xml:space="preserve"> </w:t>
      </w:r>
      <w:r w:rsidRPr="00605959">
        <w:rPr>
          <w:rFonts w:asciiTheme="minorHAnsi" w:eastAsiaTheme="minorHAnsi" w:hAnsiTheme="minorHAnsi" w:cstheme="minorBidi"/>
          <w:i/>
          <w:iCs/>
          <w:kern w:val="2"/>
          <w:sz w:val="22"/>
          <w:szCs w:val="22"/>
          <w:lang w:eastAsia="en-US"/>
          <w14:ligatures w14:val="standardContextual"/>
        </w:rPr>
        <w:t>under forhandlingerne</w:t>
      </w:r>
      <w:r w:rsidR="00C972A9">
        <w:rPr>
          <w:rFonts w:asciiTheme="minorHAnsi" w:eastAsiaTheme="minorHAnsi" w:hAnsiTheme="minorHAnsi" w:cstheme="minorBidi"/>
          <w:i/>
          <w:iCs/>
          <w:kern w:val="2"/>
          <w:sz w:val="22"/>
          <w:szCs w:val="22"/>
          <w:lang w:eastAsia="en-US"/>
          <w14:ligatures w14:val="standardContextual"/>
        </w:rPr>
        <w:t xml:space="preserve">, </w:t>
      </w:r>
      <w:r w:rsidR="0085766D" w:rsidRPr="0085766D">
        <w:rPr>
          <w:rFonts w:asciiTheme="minorHAnsi" w:eastAsiaTheme="minorHAnsi" w:hAnsiTheme="minorHAnsi" w:cstheme="minorBidi"/>
          <w:i/>
          <w:iCs/>
          <w:kern w:val="2"/>
          <w:sz w:val="22"/>
          <w:szCs w:val="22"/>
          <w:lang w:eastAsia="en-US"/>
          <w14:ligatures w14:val="standardContextual"/>
        </w:rPr>
        <w:t>skal fremgå af den endelige bodelingsaftale.</w:t>
      </w:r>
    </w:p>
    <w:p w14:paraId="4771811B" w14:textId="6585585C" w:rsidR="00364FA2" w:rsidRPr="001939CB" w:rsidRDefault="003B2911" w:rsidP="001939CB">
      <w:pPr>
        <w:pStyle w:val="Sidehoved"/>
        <w:numPr>
          <w:ilvl w:val="0"/>
          <w:numId w:val="13"/>
        </w:numPr>
        <w:tabs>
          <w:tab w:val="clear" w:pos="4819"/>
          <w:tab w:val="clear" w:pos="9638"/>
          <w:tab w:val="left" w:pos="425"/>
          <w:tab w:val="left" w:pos="851"/>
        </w:tabs>
        <w:spacing w:line="240" w:lineRule="auto"/>
        <w:rPr>
          <w:rFonts w:asciiTheme="minorHAnsi" w:eastAsiaTheme="minorHAnsi" w:hAnsiTheme="minorHAnsi" w:cstheme="minorBidi"/>
          <w:i/>
          <w:iCs/>
          <w:kern w:val="2"/>
          <w:sz w:val="20"/>
          <w:lang w:eastAsia="en-US"/>
          <w14:ligatures w14:val="standardContextual"/>
        </w:rPr>
      </w:pPr>
      <w:r w:rsidRPr="006602B7">
        <w:rPr>
          <w:rFonts w:asciiTheme="minorHAnsi" w:eastAsiaTheme="minorHAnsi" w:hAnsiTheme="minorHAnsi"/>
          <w:i/>
          <w:iCs/>
          <w:sz w:val="22"/>
          <w:szCs w:val="18"/>
        </w:rPr>
        <w:t>Levering af informationer til modtagende myndighed (hvad er nødvendigt for aftaleudkastet og hvad leveres i forbindelse med overdragelsesforretningen i løbet af 2026).</w:t>
      </w:r>
    </w:p>
    <w:p w14:paraId="25F1AD3B" w14:textId="77777777" w:rsidR="0032389C" w:rsidRDefault="0032389C" w:rsidP="00BD144D">
      <w:pPr>
        <w:spacing w:after="0"/>
        <w:rPr>
          <w:b/>
          <w:bCs/>
        </w:rPr>
      </w:pPr>
    </w:p>
    <w:p w14:paraId="5C4E9224" w14:textId="78DBDE72" w:rsidR="00605959" w:rsidRDefault="00812046" w:rsidP="00BD144D">
      <w:pPr>
        <w:spacing w:after="0"/>
        <w:rPr>
          <w:b/>
          <w:bCs/>
        </w:rPr>
      </w:pPr>
      <w:r>
        <w:rPr>
          <w:b/>
          <w:bCs/>
        </w:rPr>
        <w:t>7</w:t>
      </w:r>
      <w:r w:rsidR="00605959">
        <w:rPr>
          <w:b/>
          <w:bCs/>
        </w:rPr>
        <w:t xml:space="preserve">. </w:t>
      </w:r>
      <w:r w:rsidR="00801FB7">
        <w:rPr>
          <w:b/>
          <w:bCs/>
        </w:rPr>
        <w:t>E</w:t>
      </w:r>
      <w:r w:rsidR="00605959">
        <w:rPr>
          <w:b/>
          <w:bCs/>
        </w:rPr>
        <w:t>fterregulering</w:t>
      </w:r>
    </w:p>
    <w:p w14:paraId="35939A0E" w14:textId="77777777" w:rsidR="005670C8" w:rsidRPr="00F22FED" w:rsidRDefault="005670C8" w:rsidP="00F22FED">
      <w:pPr>
        <w:spacing w:after="0" w:line="240" w:lineRule="auto"/>
        <w:rPr>
          <w:i/>
          <w:iCs/>
        </w:rPr>
      </w:pPr>
      <w:r w:rsidRPr="00F22FED">
        <w:rPr>
          <w:i/>
          <w:iCs/>
        </w:rPr>
        <w:t xml:space="preserve">Formålet med efterregulering er at tage højde for forskydning på forskellige poster mellem datoen for aftaleindgåelse og overførselstidspunktet. </w:t>
      </w:r>
    </w:p>
    <w:p w14:paraId="5252D574" w14:textId="77777777" w:rsidR="00B64834" w:rsidRDefault="00B64834" w:rsidP="0091025A">
      <w:pPr>
        <w:spacing w:after="0" w:line="240" w:lineRule="auto"/>
        <w:rPr>
          <w:i/>
          <w:iCs/>
        </w:rPr>
      </w:pPr>
    </w:p>
    <w:p w14:paraId="1A0B5E07" w14:textId="6A4774A5" w:rsidR="00BD144D" w:rsidRPr="0091025A" w:rsidRDefault="00BD144D" w:rsidP="0091025A">
      <w:pPr>
        <w:spacing w:after="0" w:line="240" w:lineRule="auto"/>
        <w:rPr>
          <w:i/>
          <w:iCs/>
        </w:rPr>
      </w:pPr>
      <w:r w:rsidRPr="0091025A">
        <w:rPr>
          <w:i/>
          <w:iCs/>
        </w:rPr>
        <w:t>Dette afsnit skal indeholde:</w:t>
      </w:r>
    </w:p>
    <w:p w14:paraId="0AB09FDC" w14:textId="61C3ABBB" w:rsidR="00BF0EE2" w:rsidRPr="0091025A" w:rsidRDefault="00BD144D" w:rsidP="0091025A">
      <w:pPr>
        <w:pStyle w:val="Listeafsnit"/>
        <w:numPr>
          <w:ilvl w:val="0"/>
          <w:numId w:val="4"/>
        </w:numPr>
        <w:spacing w:line="240" w:lineRule="auto"/>
        <w:rPr>
          <w:i/>
          <w:iCs/>
        </w:rPr>
      </w:pPr>
      <w:r w:rsidRPr="0091025A">
        <w:rPr>
          <w:i/>
          <w:iCs/>
        </w:rPr>
        <w:t>Efterregulering for ændringer ind til ultimo regnskabsåret 2026 jf. §</w:t>
      </w:r>
      <w:r w:rsidR="009E30AC">
        <w:rPr>
          <w:i/>
          <w:iCs/>
        </w:rPr>
        <w:t xml:space="preserve"> </w:t>
      </w:r>
      <w:r w:rsidRPr="0091025A">
        <w:rPr>
          <w:i/>
          <w:iCs/>
        </w:rPr>
        <w:t xml:space="preserve">158 i </w:t>
      </w:r>
      <w:r w:rsidR="009E30AC">
        <w:rPr>
          <w:i/>
          <w:iCs/>
        </w:rPr>
        <w:t>overgangsloven</w:t>
      </w:r>
      <w:r w:rsidR="0030177C" w:rsidRPr="0091025A">
        <w:rPr>
          <w:i/>
          <w:iCs/>
        </w:rPr>
        <w:t xml:space="preserve">. Kommuner, der har overført opgaver til en region, skal </w:t>
      </w:r>
      <w:r w:rsidR="00D743BA">
        <w:rPr>
          <w:i/>
          <w:iCs/>
        </w:rPr>
        <w:t xml:space="preserve">i henhold til overgangsloven § 156, stk. 1 </w:t>
      </w:r>
      <w:r w:rsidR="0030177C" w:rsidRPr="0091025A">
        <w:rPr>
          <w:i/>
          <w:iCs/>
        </w:rPr>
        <w:t xml:space="preserve">gennemføre en efterregulering af overførslen af aktiver, passiver, rettigheder, pligter og ansatte. </w:t>
      </w:r>
      <w:r w:rsidR="00BF0EE2" w:rsidRPr="0091025A">
        <w:rPr>
          <w:i/>
          <w:iCs/>
        </w:rPr>
        <w:t>Det kan fx være tilgodehavender, kortfristede</w:t>
      </w:r>
      <w:r w:rsidR="00C61A7E">
        <w:rPr>
          <w:i/>
          <w:iCs/>
        </w:rPr>
        <w:t>- og langfristede</w:t>
      </w:r>
      <w:r w:rsidR="00BF0EE2" w:rsidRPr="0091025A">
        <w:rPr>
          <w:i/>
          <w:iCs/>
        </w:rPr>
        <w:t xml:space="preserve"> gældsforpligtelse</w:t>
      </w:r>
      <w:r w:rsidR="00C61A7E">
        <w:rPr>
          <w:i/>
          <w:iCs/>
        </w:rPr>
        <w:t>r</w:t>
      </w:r>
      <w:bookmarkStart w:id="5" w:name="_Hlk212816594"/>
      <w:r w:rsidR="00BF0EE2" w:rsidRPr="0091025A">
        <w:rPr>
          <w:i/>
          <w:iCs/>
        </w:rPr>
        <w:t>,</w:t>
      </w:r>
      <w:bookmarkEnd w:id="5"/>
      <w:r w:rsidR="00BF0EE2" w:rsidRPr="0091025A">
        <w:rPr>
          <w:i/>
          <w:iCs/>
        </w:rPr>
        <w:t xml:space="preserve"> </w:t>
      </w:r>
      <w:r w:rsidR="00EF0A97">
        <w:rPr>
          <w:i/>
          <w:iCs/>
        </w:rPr>
        <w:t>[</w:t>
      </w:r>
      <w:r w:rsidR="00C61A7E">
        <w:rPr>
          <w:i/>
          <w:iCs/>
        </w:rPr>
        <w:t xml:space="preserve">kompensation for skyldige feriepenge, </w:t>
      </w:r>
      <w:r w:rsidR="00BF0EE2" w:rsidRPr="0091025A">
        <w:rPr>
          <w:i/>
          <w:iCs/>
        </w:rPr>
        <w:t>som der sker efterregulering af</w:t>
      </w:r>
      <w:r w:rsidR="00EF0A97">
        <w:rPr>
          <w:i/>
          <w:iCs/>
        </w:rPr>
        <w:t>]</w:t>
      </w:r>
      <w:r w:rsidR="00CD21C1" w:rsidRPr="00CD21C1">
        <w:rPr>
          <w:rStyle w:val="Fodnotehenvisning"/>
          <w:i/>
          <w:iCs/>
        </w:rPr>
        <w:t xml:space="preserve"> </w:t>
      </w:r>
      <w:r w:rsidR="00CD21C1">
        <w:rPr>
          <w:rStyle w:val="Fodnotehenvisning"/>
          <w:i/>
          <w:iCs/>
        </w:rPr>
        <w:footnoteReference w:id="5"/>
      </w:r>
      <w:r w:rsidR="00BF0EE2" w:rsidRPr="0091025A">
        <w:rPr>
          <w:i/>
          <w:iCs/>
        </w:rPr>
        <w:t xml:space="preserve">. </w:t>
      </w:r>
      <w:r w:rsidR="00922152">
        <w:rPr>
          <w:i/>
          <w:iCs/>
        </w:rPr>
        <w:t>Efterregulering af ansatte er reguleret i overgangslovens § 158, stk. 3 og 4, som regulerer ændringer i listerne over medarbejdere fra delingsaftalens indgåelse til medarbejderne overgår til regional ansættelse den 1. januar 2027. Efter denne dato er der ikke yderligere efterregulering af ansatte.</w:t>
      </w:r>
      <w:r w:rsidR="00F31078">
        <w:rPr>
          <w:i/>
          <w:iCs/>
        </w:rPr>
        <w:t xml:space="preserve"> </w:t>
      </w:r>
    </w:p>
    <w:p w14:paraId="24FAFA9E" w14:textId="198A66DE" w:rsidR="00A77755" w:rsidRPr="0055404E" w:rsidRDefault="002305BA" w:rsidP="0055404E">
      <w:pPr>
        <w:spacing w:after="0" w:line="240" w:lineRule="auto"/>
        <w:ind w:left="360"/>
        <w:rPr>
          <w:i/>
          <w:iCs/>
        </w:rPr>
      </w:pPr>
      <w:r w:rsidRPr="0055404E">
        <w:rPr>
          <w:i/>
          <w:iCs/>
        </w:rPr>
        <w:t>Principper for efterregulering</w:t>
      </w:r>
      <w:r w:rsidR="00DE0271">
        <w:rPr>
          <w:i/>
          <w:iCs/>
        </w:rPr>
        <w:t xml:space="preserve"> af aktiver, passiver, rettigheder og pligter</w:t>
      </w:r>
      <w:r w:rsidR="00A77755" w:rsidRPr="0055404E">
        <w:rPr>
          <w:i/>
          <w:iCs/>
        </w:rPr>
        <w:t>:</w:t>
      </w:r>
    </w:p>
    <w:p w14:paraId="595585CF" w14:textId="326111FD" w:rsidR="00422F0E" w:rsidRDefault="00422F0E" w:rsidP="00422F0E">
      <w:pPr>
        <w:pStyle w:val="Listeafsnit"/>
        <w:numPr>
          <w:ilvl w:val="0"/>
          <w:numId w:val="4"/>
        </w:numPr>
        <w:spacing w:after="0" w:line="240" w:lineRule="auto"/>
        <w:rPr>
          <w:i/>
          <w:iCs/>
        </w:rPr>
      </w:pPr>
      <w:r>
        <w:rPr>
          <w:i/>
          <w:iCs/>
        </w:rPr>
        <w:t>Efterreguleringen skal tage udgangspunkt i det afsluttede regnskabsår pr. 31. december 2026. Efterfølgende gennemføres en proces med revisorpåtegning og endelig godkendelse af regnskaberne hen over foråret.</w:t>
      </w:r>
    </w:p>
    <w:p w14:paraId="40FB2CF7" w14:textId="2F6BBFE4" w:rsidR="00422F0E" w:rsidRDefault="00422F0E" w:rsidP="00422F0E">
      <w:pPr>
        <w:pStyle w:val="Listeafsnit"/>
        <w:numPr>
          <w:ilvl w:val="0"/>
          <w:numId w:val="4"/>
        </w:numPr>
        <w:spacing w:after="0" w:line="240" w:lineRule="auto"/>
        <w:rPr>
          <w:i/>
          <w:iCs/>
        </w:rPr>
      </w:pPr>
      <w:r>
        <w:rPr>
          <w:i/>
          <w:iCs/>
        </w:rPr>
        <w:t>Efterreguleringsoversigten udarbejdes på baggrund af årsregnskabets tal, uden krav om revisionspåtegning af selve oversigten.</w:t>
      </w:r>
    </w:p>
    <w:p w14:paraId="7EF8E69A" w14:textId="152DF7BB" w:rsidR="00422F0E" w:rsidRDefault="00422F0E" w:rsidP="00422F0E">
      <w:pPr>
        <w:pStyle w:val="Listeafsnit"/>
        <w:numPr>
          <w:ilvl w:val="0"/>
          <w:numId w:val="4"/>
        </w:numPr>
        <w:spacing w:after="0" w:line="240" w:lineRule="auto"/>
        <w:rPr>
          <w:i/>
          <w:iCs/>
        </w:rPr>
      </w:pPr>
      <w:r>
        <w:rPr>
          <w:i/>
          <w:iCs/>
        </w:rPr>
        <w:t xml:space="preserve">Efterreguleringen skal være afsluttet senest pr. </w:t>
      </w:r>
      <w:r w:rsidR="00C565C6">
        <w:rPr>
          <w:i/>
          <w:iCs/>
        </w:rPr>
        <w:t>3</w:t>
      </w:r>
      <w:r>
        <w:rPr>
          <w:i/>
          <w:iCs/>
        </w:rPr>
        <w:t>1. august 2027.</w:t>
      </w:r>
    </w:p>
    <w:p w14:paraId="4E7A3C65" w14:textId="5C3564DB" w:rsidR="00FE16C4" w:rsidRDefault="00422F0E" w:rsidP="00E57E51">
      <w:pPr>
        <w:pStyle w:val="Listeafsnit"/>
        <w:numPr>
          <w:ilvl w:val="0"/>
          <w:numId w:val="4"/>
        </w:numPr>
        <w:spacing w:after="0" w:line="240" w:lineRule="auto"/>
        <w:rPr>
          <w:i/>
          <w:iCs/>
        </w:rPr>
      </w:pPr>
      <w:r>
        <w:rPr>
          <w:i/>
          <w:iCs/>
        </w:rPr>
        <w:t>Eventuelt øvrige principper for efterregulering</w:t>
      </w:r>
    </w:p>
    <w:p w14:paraId="31500126" w14:textId="77777777" w:rsidR="00E57E51" w:rsidRPr="00E57E51" w:rsidRDefault="00E57E51" w:rsidP="00E57E51">
      <w:pPr>
        <w:pStyle w:val="Listeafsnit"/>
        <w:spacing w:after="0" w:line="240" w:lineRule="auto"/>
        <w:rPr>
          <w:i/>
          <w:iCs/>
        </w:rPr>
      </w:pPr>
    </w:p>
    <w:p w14:paraId="132E3665" w14:textId="33D005C6" w:rsidR="00364FA2" w:rsidRPr="00364FA2" w:rsidRDefault="00812046" w:rsidP="00791EB0">
      <w:pPr>
        <w:spacing w:after="0" w:line="240" w:lineRule="auto"/>
        <w:rPr>
          <w:b/>
          <w:bCs/>
        </w:rPr>
      </w:pPr>
      <w:r>
        <w:rPr>
          <w:b/>
          <w:bCs/>
        </w:rPr>
        <w:t>8</w:t>
      </w:r>
      <w:r w:rsidR="00364FA2" w:rsidRPr="00364FA2">
        <w:rPr>
          <w:b/>
          <w:bCs/>
        </w:rPr>
        <w:t>.</w:t>
      </w:r>
      <w:r w:rsidR="00F2752C">
        <w:rPr>
          <w:b/>
          <w:bCs/>
        </w:rPr>
        <w:t xml:space="preserve"> </w:t>
      </w:r>
      <w:r w:rsidR="00364FA2" w:rsidRPr="00364FA2">
        <w:rPr>
          <w:b/>
          <w:bCs/>
        </w:rPr>
        <w:t>Reviso</w:t>
      </w:r>
      <w:r w:rsidR="00F2752C">
        <w:rPr>
          <w:b/>
          <w:bCs/>
        </w:rPr>
        <w:t>rpåtegning (jf. §157)</w:t>
      </w:r>
    </w:p>
    <w:p w14:paraId="1FFB3831" w14:textId="10636878" w:rsidR="0091025A" w:rsidRDefault="00403145" w:rsidP="00F22FED">
      <w:pPr>
        <w:spacing w:after="0" w:line="240" w:lineRule="auto"/>
        <w:rPr>
          <w:i/>
          <w:iCs/>
        </w:rPr>
      </w:pPr>
      <w:r w:rsidRPr="00403145">
        <w:rPr>
          <w:i/>
          <w:iCs/>
        </w:rPr>
        <w:t xml:space="preserve">Aftaleudkastet skal indeholde en påtegning fra kommunens revisor. Revisors påtegning skal indeholde en konklusion om, hvorvidt alle aktiver og passiver, rettigheder og pligter samt ansatte, der skal overføres, er blevet identificeret (§ 157, stk. 3). </w:t>
      </w:r>
      <w:r w:rsidR="00D85891">
        <w:rPr>
          <w:i/>
          <w:iCs/>
        </w:rPr>
        <w:t xml:space="preserve">Revisor forudsættes derimod ikke at forholde sig til værdiansættelse af aktiver og passiver </w:t>
      </w:r>
      <w:r w:rsidR="00056A0D">
        <w:rPr>
          <w:i/>
          <w:iCs/>
        </w:rPr>
        <w:t>mv. ligesom efterreguleringen ikke forudsættes revisorpåtegnet.</w:t>
      </w:r>
    </w:p>
    <w:p w14:paraId="6362EA6A" w14:textId="77777777" w:rsidR="00791EB0" w:rsidRPr="0091025A" w:rsidRDefault="00791EB0" w:rsidP="00791EB0">
      <w:pPr>
        <w:spacing w:after="0"/>
        <w:rPr>
          <w:i/>
          <w:iCs/>
        </w:rPr>
      </w:pPr>
    </w:p>
    <w:p w14:paraId="0D064834" w14:textId="4C269721" w:rsidR="00364FA2" w:rsidRDefault="00812046" w:rsidP="00791EB0">
      <w:pPr>
        <w:spacing w:after="0"/>
        <w:rPr>
          <w:b/>
          <w:bCs/>
        </w:rPr>
      </w:pPr>
      <w:r>
        <w:rPr>
          <w:b/>
          <w:bCs/>
        </w:rPr>
        <w:t>9</w:t>
      </w:r>
      <w:r w:rsidR="00364FA2" w:rsidRPr="00364FA2">
        <w:rPr>
          <w:b/>
          <w:bCs/>
        </w:rPr>
        <w:t>.</w:t>
      </w:r>
      <w:r w:rsidR="00F2752C">
        <w:rPr>
          <w:b/>
          <w:bCs/>
        </w:rPr>
        <w:t xml:space="preserve"> </w:t>
      </w:r>
      <w:r w:rsidR="009772EF">
        <w:rPr>
          <w:b/>
          <w:bCs/>
        </w:rPr>
        <w:t>Underskrifter</w:t>
      </w:r>
    </w:p>
    <w:p w14:paraId="13244CE5" w14:textId="77777777" w:rsidR="00704F62" w:rsidRDefault="00704F62" w:rsidP="00791EB0">
      <w:pPr>
        <w:spacing w:after="0"/>
        <w:rPr>
          <w:b/>
          <w:bCs/>
        </w:rPr>
      </w:pPr>
    </w:p>
    <w:p w14:paraId="35E2A828" w14:textId="77777777" w:rsidR="00913BDA" w:rsidRDefault="00913BDA" w:rsidP="00006A51">
      <w:pPr>
        <w:spacing w:after="0"/>
        <w:rPr>
          <w:b/>
          <w:bCs/>
        </w:rPr>
      </w:pPr>
    </w:p>
    <w:p w14:paraId="35EB1D42" w14:textId="77777777" w:rsidR="00913BDA" w:rsidRDefault="00913BDA" w:rsidP="00006A51">
      <w:pPr>
        <w:spacing w:after="0"/>
        <w:rPr>
          <w:b/>
          <w:bCs/>
        </w:rPr>
      </w:pPr>
    </w:p>
    <w:p w14:paraId="6003CBA6" w14:textId="77777777" w:rsidR="00913BDA" w:rsidRDefault="00913BDA" w:rsidP="00006A51">
      <w:pPr>
        <w:spacing w:after="0"/>
        <w:rPr>
          <w:b/>
          <w:bCs/>
        </w:rPr>
      </w:pPr>
    </w:p>
    <w:p w14:paraId="36814F03" w14:textId="77777777" w:rsidR="00913BDA" w:rsidRDefault="00913BDA" w:rsidP="00006A51">
      <w:pPr>
        <w:spacing w:after="0"/>
        <w:rPr>
          <w:b/>
          <w:bCs/>
        </w:rPr>
      </w:pPr>
    </w:p>
    <w:p w14:paraId="18C30631" w14:textId="77777777" w:rsidR="00913BDA" w:rsidRDefault="00913BDA" w:rsidP="00006A51">
      <w:pPr>
        <w:spacing w:after="0"/>
        <w:rPr>
          <w:b/>
          <w:bCs/>
        </w:rPr>
      </w:pPr>
    </w:p>
    <w:p w14:paraId="54078E03" w14:textId="77777777" w:rsidR="00913BDA" w:rsidRDefault="00913BDA" w:rsidP="00006A51">
      <w:pPr>
        <w:spacing w:after="0"/>
        <w:rPr>
          <w:b/>
          <w:bCs/>
        </w:rPr>
      </w:pPr>
    </w:p>
    <w:p w14:paraId="0234ED72" w14:textId="0CD149C4" w:rsidR="00BE72B0" w:rsidRDefault="00511912" w:rsidP="00006A51">
      <w:pPr>
        <w:spacing w:after="0"/>
        <w:rPr>
          <w:b/>
          <w:bCs/>
        </w:rPr>
      </w:pPr>
      <w:r>
        <w:rPr>
          <w:b/>
          <w:bCs/>
        </w:rPr>
        <w:lastRenderedPageBreak/>
        <w:t>Bilag 1</w:t>
      </w:r>
    </w:p>
    <w:p w14:paraId="58158301" w14:textId="198AF064" w:rsidR="0014214C" w:rsidRPr="004D5D5F" w:rsidRDefault="00511912" w:rsidP="00006A51">
      <w:pPr>
        <w:spacing w:after="0"/>
        <w:rPr>
          <w:b/>
          <w:bCs/>
        </w:rPr>
      </w:pPr>
      <w:r w:rsidRPr="00DD653E">
        <w:rPr>
          <w:rFonts w:ascii="Aptos" w:hAnsi="Aptos"/>
        </w:rPr>
        <w:fldChar w:fldCharType="begin"/>
      </w:r>
      <w:r w:rsidRPr="00DD653E">
        <w:rPr>
          <w:rFonts w:ascii="Aptos" w:hAnsi="Aptos"/>
        </w:rPr>
        <w:instrText xml:space="preserve"> LINK </w:instrText>
      </w:r>
      <w:r w:rsidR="005E64F5">
        <w:rPr>
          <w:rFonts w:ascii="Aptos" w:hAnsi="Aptos"/>
        </w:rPr>
        <w:instrText xml:space="preserve">Excel.Sheet.12 https://go.kl.dk/cases/SAG167/SAG-2025-00616/Dokumenter/opgørelse%20af%20bodeling.xlsx "Aktiver og passiver!R2C1:R11C2" </w:instrText>
      </w:r>
      <w:r w:rsidRPr="00DD653E">
        <w:rPr>
          <w:rFonts w:ascii="Aptos" w:hAnsi="Aptos"/>
        </w:rPr>
        <w:instrText xml:space="preserve">\a \f 4 \h </w:instrText>
      </w:r>
      <w:r w:rsidR="00200D7D" w:rsidRPr="00DD653E">
        <w:rPr>
          <w:rFonts w:ascii="Aptos" w:hAnsi="Aptos"/>
        </w:rPr>
        <w:instrText xml:space="preserve"> \* MERGEFORMAT </w:instrText>
      </w:r>
      <w:r w:rsidRPr="00DD653E">
        <w:rPr>
          <w:rFonts w:ascii="Aptos" w:hAnsi="Aptos"/>
        </w:rPr>
        <w:fldChar w:fldCharType="separate"/>
      </w:r>
    </w:p>
    <w:tbl>
      <w:tblPr>
        <w:tblW w:w="9351" w:type="dxa"/>
        <w:tblCellMar>
          <w:left w:w="70" w:type="dxa"/>
          <w:right w:w="70" w:type="dxa"/>
        </w:tblCellMar>
        <w:tblLook w:val="04A0" w:firstRow="1" w:lastRow="0" w:firstColumn="1" w:lastColumn="0" w:noHBand="0" w:noVBand="1"/>
      </w:tblPr>
      <w:tblGrid>
        <w:gridCol w:w="4531"/>
        <w:gridCol w:w="4820"/>
      </w:tblGrid>
      <w:tr w:rsidR="0014214C" w:rsidRPr="00DD653E" w14:paraId="4153507A" w14:textId="77777777" w:rsidTr="00AD74D6">
        <w:trPr>
          <w:divId w:val="768234857"/>
          <w:trHeight w:val="901"/>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2EB4F61B" w14:textId="5EB16FA9" w:rsidR="0014214C" w:rsidRPr="0048155A" w:rsidRDefault="0014214C" w:rsidP="00DD653E">
            <w:pPr>
              <w:spacing w:after="0" w:line="240" w:lineRule="auto"/>
              <w:rPr>
                <w:rFonts w:ascii="Aptos" w:eastAsia="Times New Roman" w:hAnsi="Aptos" w:cs="Times New Roman"/>
                <w:b/>
                <w:bCs/>
                <w:color w:val="000000"/>
                <w:kern w:val="0"/>
                <w:lang w:eastAsia="da-DK"/>
                <w14:ligatures w14:val="none"/>
              </w:rPr>
            </w:pPr>
            <w:r w:rsidRPr="0048155A">
              <w:rPr>
                <w:rFonts w:ascii="Aptos" w:eastAsia="Times New Roman" w:hAnsi="Aptos" w:cs="Times New Roman"/>
                <w:b/>
                <w:bCs/>
                <w:color w:val="000000"/>
                <w:kern w:val="0"/>
                <w:lang w:eastAsia="da-DK"/>
                <w14:ligatures w14:val="none"/>
              </w:rPr>
              <w:t>Aktiver og passiver omfatter:</w:t>
            </w:r>
          </w:p>
        </w:tc>
        <w:tc>
          <w:tcPr>
            <w:tcW w:w="4820" w:type="dxa"/>
            <w:tcBorders>
              <w:top w:val="single" w:sz="4" w:space="0" w:color="auto"/>
              <w:left w:val="nil"/>
              <w:bottom w:val="single" w:sz="4" w:space="0" w:color="auto"/>
              <w:right w:val="single" w:sz="4" w:space="0" w:color="auto"/>
            </w:tcBorders>
            <w:vAlign w:val="center"/>
            <w:hideMark/>
          </w:tcPr>
          <w:p w14:paraId="6F523F4D" w14:textId="77777777" w:rsidR="0014214C" w:rsidRPr="0048155A" w:rsidRDefault="0014214C" w:rsidP="00DD653E">
            <w:pPr>
              <w:spacing w:after="0" w:line="240" w:lineRule="auto"/>
              <w:rPr>
                <w:rFonts w:ascii="Aptos" w:eastAsia="Times New Roman" w:hAnsi="Aptos" w:cs="Times New Roman"/>
                <w:b/>
                <w:bCs/>
                <w:color w:val="000000"/>
                <w:kern w:val="0"/>
                <w:lang w:eastAsia="da-DK"/>
                <w14:ligatures w14:val="none"/>
              </w:rPr>
            </w:pPr>
            <w:r w:rsidRPr="0048155A">
              <w:rPr>
                <w:rFonts w:ascii="Aptos" w:eastAsia="Times New Roman" w:hAnsi="Aptos" w:cs="Times New Roman"/>
                <w:b/>
                <w:bCs/>
                <w:color w:val="000000"/>
                <w:kern w:val="0"/>
                <w:lang w:eastAsia="da-DK"/>
                <w14:ligatures w14:val="none"/>
              </w:rPr>
              <w:t>Hvad skal oplyses:</w:t>
            </w:r>
          </w:p>
        </w:tc>
      </w:tr>
      <w:tr w:rsidR="0014214C" w:rsidRPr="00DD653E" w14:paraId="730487D1"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34433A8D" w14:textId="1A5744B7" w:rsidR="0014214C" w:rsidRPr="00DD653E" w:rsidRDefault="0014214C"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Grunde (inkl. løsøre, uanset værdi, tilknyttet ejendomme, som overtages af regionen)</w:t>
            </w:r>
          </w:p>
        </w:tc>
        <w:tc>
          <w:tcPr>
            <w:tcW w:w="4820" w:type="dxa"/>
            <w:tcBorders>
              <w:top w:val="nil"/>
              <w:left w:val="nil"/>
              <w:bottom w:val="single" w:sz="4" w:space="0" w:color="auto"/>
              <w:right w:val="single" w:sz="4" w:space="0" w:color="auto"/>
            </w:tcBorders>
            <w:vAlign w:val="center"/>
            <w:hideMark/>
          </w:tcPr>
          <w:p w14:paraId="122A1216" w14:textId="44C15068" w:rsidR="0014214C" w:rsidRPr="00DD653E" w:rsidRDefault="0014214C"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Adresse, værdi som opgjort i R2025</w:t>
            </w:r>
            <w:r w:rsidR="00F15D70" w:rsidRPr="00DD653E">
              <w:rPr>
                <w:rFonts w:ascii="Aptos" w:eastAsia="Times New Roman" w:hAnsi="Aptos" w:cs="Times New Roman"/>
                <w:color w:val="000000"/>
                <w:kern w:val="0"/>
                <w:lang w:eastAsia="da-DK"/>
                <w14:ligatures w14:val="none"/>
              </w:rPr>
              <w:t>, matrikelnummer</w:t>
            </w:r>
          </w:p>
        </w:tc>
      </w:tr>
      <w:tr w:rsidR="00F15D70" w:rsidRPr="00DD653E" w14:paraId="2F454742"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tcPr>
          <w:p w14:paraId="30C6E110" w14:textId="4AABFE31"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Bygninger (inkl. løsøre, uanset værdi, tilknyttet ejendomme, som overtages af regionen)</w:t>
            </w:r>
          </w:p>
        </w:tc>
        <w:tc>
          <w:tcPr>
            <w:tcW w:w="4820" w:type="dxa"/>
            <w:tcBorders>
              <w:top w:val="nil"/>
              <w:left w:val="nil"/>
              <w:bottom w:val="single" w:sz="4" w:space="0" w:color="auto"/>
              <w:right w:val="single" w:sz="4" w:space="0" w:color="auto"/>
            </w:tcBorders>
            <w:vAlign w:val="center"/>
          </w:tcPr>
          <w:p w14:paraId="58B4E86B" w14:textId="7A5A1562"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Adresse, værdi som opgjort i R2025, matrikelnummer</w:t>
            </w:r>
          </w:p>
        </w:tc>
      </w:tr>
      <w:tr w:rsidR="00F15D70" w:rsidRPr="00DD653E" w14:paraId="4602C67C"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0FDB551D" w14:textId="656E6B69"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 xml:space="preserve">Øvrige materielle anlægsaktiver (fx </w:t>
            </w:r>
            <w:r w:rsidR="00511E74" w:rsidRPr="00DD653E">
              <w:rPr>
                <w:rFonts w:ascii="Aptos" w:eastAsia="Times New Roman" w:hAnsi="Aptos" w:cs="Times New Roman"/>
                <w:color w:val="000000"/>
                <w:kern w:val="0"/>
                <w:lang w:eastAsia="da-DK"/>
                <w14:ligatures w14:val="none"/>
              </w:rPr>
              <w:t>køretøjer</w:t>
            </w:r>
            <w:r w:rsidRPr="00DD653E">
              <w:rPr>
                <w:rFonts w:ascii="Aptos" w:eastAsia="Times New Roman" w:hAnsi="Aptos" w:cs="Times New Roman"/>
                <w:color w:val="000000"/>
                <w:kern w:val="0"/>
                <w:lang w:eastAsia="da-DK"/>
                <w14:ligatures w14:val="none"/>
              </w:rPr>
              <w:t>)</w:t>
            </w:r>
          </w:p>
        </w:tc>
        <w:tc>
          <w:tcPr>
            <w:tcW w:w="4820" w:type="dxa"/>
            <w:tcBorders>
              <w:top w:val="nil"/>
              <w:left w:val="nil"/>
              <w:bottom w:val="single" w:sz="4" w:space="0" w:color="auto"/>
              <w:right w:val="single" w:sz="4" w:space="0" w:color="auto"/>
            </w:tcBorders>
            <w:vAlign w:val="center"/>
            <w:hideMark/>
          </w:tcPr>
          <w:p w14:paraId="6C5CFA7F" w14:textId="35CB1526" w:rsidR="00511E74"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Værdi som opgjort i R2025; nyanskaffelser efter 1.1.2026 til anskaffelsespris</w:t>
            </w:r>
            <w:r w:rsidR="00511E74" w:rsidRPr="00DD653E">
              <w:rPr>
                <w:rFonts w:ascii="Aptos" w:eastAsia="Times New Roman" w:hAnsi="Aptos" w:cs="Times New Roman"/>
                <w:color w:val="000000"/>
                <w:kern w:val="0"/>
                <w:lang w:eastAsia="da-DK"/>
                <w14:ligatures w14:val="none"/>
              </w:rPr>
              <w:t>, registreringsnummer på køretøjer</w:t>
            </w:r>
          </w:p>
        </w:tc>
      </w:tr>
      <w:tr w:rsidR="00F15D70" w:rsidRPr="00DD653E" w14:paraId="6B12457F"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73854FB2"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Løsøre over 25.000 kr. (tilknyttet ejendomme, som ikke overtages af regionen)</w:t>
            </w:r>
          </w:p>
        </w:tc>
        <w:tc>
          <w:tcPr>
            <w:tcW w:w="4820" w:type="dxa"/>
            <w:tcBorders>
              <w:top w:val="nil"/>
              <w:left w:val="nil"/>
              <w:bottom w:val="single" w:sz="4" w:space="0" w:color="auto"/>
              <w:right w:val="single" w:sz="4" w:space="0" w:color="auto"/>
            </w:tcBorders>
            <w:vAlign w:val="center"/>
            <w:hideMark/>
          </w:tcPr>
          <w:p w14:paraId="5C4F58E6"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 xml:space="preserve">Værdi som opgjort i R2025; nyanskaffelser efter 1.1.2026 til anskaffelsespris </w:t>
            </w:r>
          </w:p>
        </w:tc>
      </w:tr>
      <w:tr w:rsidR="00F15D70" w:rsidRPr="00DD653E" w14:paraId="45A407C5"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37010017"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Tilgodehavender</w:t>
            </w:r>
          </w:p>
        </w:tc>
        <w:tc>
          <w:tcPr>
            <w:tcW w:w="4820" w:type="dxa"/>
            <w:tcBorders>
              <w:top w:val="nil"/>
              <w:left w:val="nil"/>
              <w:bottom w:val="single" w:sz="4" w:space="0" w:color="auto"/>
              <w:right w:val="single" w:sz="4" w:space="0" w:color="auto"/>
            </w:tcBorders>
            <w:vAlign w:val="center"/>
            <w:hideMark/>
          </w:tcPr>
          <w:p w14:paraId="3C6D3C03" w14:textId="53AAA068"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 xml:space="preserve">Debitor, tilgodehavende, </w:t>
            </w:r>
            <w:r w:rsidR="00511E74" w:rsidRPr="00DD653E">
              <w:rPr>
                <w:rFonts w:ascii="Aptos" w:eastAsia="Times New Roman" w:hAnsi="Aptos" w:cs="Times New Roman"/>
                <w:color w:val="000000"/>
                <w:kern w:val="0"/>
                <w:lang w:eastAsia="da-DK"/>
                <w14:ligatures w14:val="none"/>
              </w:rPr>
              <w:t>o</w:t>
            </w:r>
            <w:r w:rsidRPr="00DD653E">
              <w:rPr>
                <w:rFonts w:ascii="Aptos" w:eastAsia="Times New Roman" w:hAnsi="Aptos" w:cs="Times New Roman"/>
                <w:color w:val="000000"/>
                <w:kern w:val="0"/>
                <w:lang w:eastAsia="da-DK"/>
                <w14:ligatures w14:val="none"/>
              </w:rPr>
              <w:t>pgjort på aftaletidspunktet til nominel værdi</w:t>
            </w:r>
          </w:p>
        </w:tc>
      </w:tr>
      <w:tr w:rsidR="00F15D70" w:rsidRPr="00DD653E" w14:paraId="26C1E9D1"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40CAF1C0"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Likvide beholdninger (i de særlige tilfælde, at der findes opgavehenførbare likvide beholdninger)</w:t>
            </w:r>
          </w:p>
        </w:tc>
        <w:tc>
          <w:tcPr>
            <w:tcW w:w="4820" w:type="dxa"/>
            <w:tcBorders>
              <w:top w:val="nil"/>
              <w:left w:val="nil"/>
              <w:bottom w:val="single" w:sz="4" w:space="0" w:color="auto"/>
              <w:right w:val="single" w:sz="4" w:space="0" w:color="auto"/>
            </w:tcBorders>
            <w:vAlign w:val="center"/>
            <w:hideMark/>
          </w:tcPr>
          <w:p w14:paraId="44A91CC7" w14:textId="7F12F0B1" w:rsidR="00F15D70" w:rsidRPr="00DD653E" w:rsidRDefault="00777C21"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Evt.</w:t>
            </w:r>
            <w:r w:rsidR="00F15D70" w:rsidRPr="00DD653E">
              <w:rPr>
                <w:rFonts w:ascii="Aptos" w:eastAsia="Times New Roman" w:hAnsi="Aptos" w:cs="Times New Roman"/>
                <w:color w:val="000000"/>
                <w:kern w:val="0"/>
                <w:lang w:eastAsia="da-DK"/>
                <w14:ligatures w14:val="none"/>
              </w:rPr>
              <w:t xml:space="preserve"> bank, kontonummer, opgjort på aftaletidspunktet</w:t>
            </w:r>
          </w:p>
        </w:tc>
      </w:tr>
      <w:tr w:rsidR="00F15D70" w:rsidRPr="00DD653E" w14:paraId="4F30F431"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7833C380"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Øvrige aktiver, som kan være relevante (fx varebeholdninger)</w:t>
            </w:r>
          </w:p>
        </w:tc>
        <w:tc>
          <w:tcPr>
            <w:tcW w:w="4820" w:type="dxa"/>
            <w:tcBorders>
              <w:top w:val="nil"/>
              <w:left w:val="nil"/>
              <w:bottom w:val="single" w:sz="4" w:space="0" w:color="auto"/>
              <w:right w:val="single" w:sz="4" w:space="0" w:color="auto"/>
            </w:tcBorders>
            <w:vAlign w:val="center"/>
            <w:hideMark/>
          </w:tcPr>
          <w:p w14:paraId="74DFF7C3"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Opgjort på aftaletidspunktet</w:t>
            </w:r>
          </w:p>
        </w:tc>
      </w:tr>
      <w:tr w:rsidR="00F15D70" w:rsidRPr="00DD653E" w14:paraId="3EBAA21D"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2414DB7C"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Kortfristede- og langfristede gældsforpligtelser</w:t>
            </w:r>
          </w:p>
        </w:tc>
        <w:tc>
          <w:tcPr>
            <w:tcW w:w="4820" w:type="dxa"/>
            <w:tcBorders>
              <w:top w:val="nil"/>
              <w:left w:val="nil"/>
              <w:bottom w:val="single" w:sz="4" w:space="0" w:color="auto"/>
              <w:right w:val="single" w:sz="4" w:space="0" w:color="auto"/>
            </w:tcBorders>
            <w:vAlign w:val="center"/>
            <w:hideMark/>
          </w:tcPr>
          <w:p w14:paraId="4F34FC29"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Kreditor, restgæld, opgjort på aftaletidspunktet</w:t>
            </w:r>
          </w:p>
        </w:tc>
      </w:tr>
      <w:tr w:rsidR="00F15D70" w:rsidRPr="00DD653E" w14:paraId="7A2A9088"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18E9F79F" w14:textId="71E63725" w:rsidR="00F15D70" w:rsidRPr="00DD653E" w:rsidRDefault="00A36BB7"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w:t>
            </w:r>
            <w:r w:rsidR="00F15D70" w:rsidRPr="00DD653E">
              <w:rPr>
                <w:rFonts w:ascii="Aptos" w:eastAsia="Times New Roman" w:hAnsi="Aptos" w:cs="Times New Roman"/>
                <w:color w:val="000000"/>
                <w:kern w:val="0"/>
                <w:lang w:eastAsia="da-DK"/>
                <w14:ligatures w14:val="none"/>
              </w:rPr>
              <w:t>Feriepenge for ferie, som er optjent, men ikke afholdt inden overførslen, for overførte medarbejdere</w:t>
            </w:r>
            <w:r w:rsidRPr="00DD653E">
              <w:rPr>
                <w:rFonts w:ascii="Aptos" w:eastAsia="Times New Roman" w:hAnsi="Aptos" w:cs="Times New Roman"/>
                <w:color w:val="000000"/>
                <w:kern w:val="0"/>
                <w:lang w:eastAsia="da-DK"/>
                <w14:ligatures w14:val="none"/>
              </w:rPr>
              <w:t>]</w:t>
            </w:r>
            <w:r w:rsidRPr="00DD653E">
              <w:rPr>
                <w:rStyle w:val="Fodnotehenvisning"/>
                <w:rFonts w:ascii="Aptos" w:hAnsi="Aptos"/>
                <w:i/>
                <w:iCs/>
              </w:rPr>
              <w:t xml:space="preserve"> </w:t>
            </w:r>
            <w:r w:rsidRPr="00DD653E">
              <w:rPr>
                <w:rStyle w:val="Fodnotehenvisning"/>
                <w:rFonts w:ascii="Aptos" w:hAnsi="Aptos"/>
                <w:i/>
                <w:iCs/>
              </w:rPr>
              <w:footnoteReference w:id="6"/>
            </w:r>
          </w:p>
        </w:tc>
        <w:tc>
          <w:tcPr>
            <w:tcW w:w="4820" w:type="dxa"/>
            <w:tcBorders>
              <w:top w:val="nil"/>
              <w:left w:val="nil"/>
              <w:bottom w:val="single" w:sz="4" w:space="0" w:color="auto"/>
              <w:right w:val="single" w:sz="4" w:space="0" w:color="auto"/>
            </w:tcBorders>
            <w:vAlign w:val="center"/>
            <w:hideMark/>
          </w:tcPr>
          <w:p w14:paraId="62CD545E"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Medarbejder, tilgodehavende, opgjort på aftaletidspunktet</w:t>
            </w:r>
          </w:p>
        </w:tc>
      </w:tr>
      <w:tr w:rsidR="00F15D70" w:rsidRPr="00DD653E" w14:paraId="41BC64AB" w14:textId="77777777" w:rsidTr="00AD74D6">
        <w:trPr>
          <w:divId w:val="768234857"/>
          <w:trHeight w:val="901"/>
        </w:trPr>
        <w:tc>
          <w:tcPr>
            <w:tcW w:w="4531" w:type="dxa"/>
            <w:tcBorders>
              <w:top w:val="nil"/>
              <w:left w:val="single" w:sz="4" w:space="0" w:color="auto"/>
              <w:bottom w:val="single" w:sz="4" w:space="0" w:color="auto"/>
              <w:right w:val="single" w:sz="4" w:space="0" w:color="auto"/>
            </w:tcBorders>
            <w:vAlign w:val="center"/>
            <w:hideMark/>
          </w:tcPr>
          <w:p w14:paraId="4DF7B14F"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Øvrige passiver, som kan være relevante (fx oplysninger omkring fagretlige sager, arbejdsskadesager mv.).</w:t>
            </w:r>
          </w:p>
        </w:tc>
        <w:tc>
          <w:tcPr>
            <w:tcW w:w="4820" w:type="dxa"/>
            <w:tcBorders>
              <w:top w:val="nil"/>
              <w:left w:val="nil"/>
              <w:bottom w:val="single" w:sz="4" w:space="0" w:color="auto"/>
              <w:right w:val="single" w:sz="4" w:space="0" w:color="auto"/>
            </w:tcBorders>
            <w:vAlign w:val="center"/>
            <w:hideMark/>
          </w:tcPr>
          <w:p w14:paraId="3259FFF0" w14:textId="77777777" w:rsidR="00F15D70" w:rsidRPr="00DD653E" w:rsidRDefault="00F15D70" w:rsidP="00DD653E">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Oplysning om sag, part, evt. hensættelser der måtte eksistere på aftaletidspunktet</w:t>
            </w:r>
          </w:p>
        </w:tc>
      </w:tr>
    </w:tbl>
    <w:p w14:paraId="1826AA84" w14:textId="77777777" w:rsidR="009F205A" w:rsidRDefault="00511912" w:rsidP="00791EB0">
      <w:pPr>
        <w:spacing w:after="0"/>
        <w:rPr>
          <w:rFonts w:ascii="Aptos" w:hAnsi="Aptos"/>
          <w:b/>
          <w:bCs/>
        </w:rPr>
      </w:pPr>
      <w:r w:rsidRPr="00DD653E">
        <w:rPr>
          <w:rFonts w:ascii="Aptos" w:hAnsi="Aptos"/>
          <w:b/>
          <w:bCs/>
        </w:rPr>
        <w:fldChar w:fldCharType="end"/>
      </w:r>
    </w:p>
    <w:p w14:paraId="200C5681" w14:textId="77777777" w:rsidR="009F205A" w:rsidRDefault="009F205A">
      <w:pPr>
        <w:rPr>
          <w:rFonts w:ascii="Aptos" w:hAnsi="Aptos"/>
          <w:b/>
          <w:bCs/>
        </w:rPr>
      </w:pPr>
      <w:r>
        <w:rPr>
          <w:rFonts w:ascii="Aptos" w:hAnsi="Aptos"/>
          <w:b/>
          <w:bCs/>
        </w:rPr>
        <w:br w:type="page"/>
      </w:r>
    </w:p>
    <w:p w14:paraId="1C5F2902" w14:textId="1E683D82" w:rsidR="00006A51" w:rsidRPr="00683C66" w:rsidRDefault="00511912" w:rsidP="00791EB0">
      <w:pPr>
        <w:spacing w:after="0"/>
        <w:rPr>
          <w:rFonts w:ascii="Aptos" w:hAnsi="Aptos"/>
          <w:b/>
          <w:bCs/>
        </w:rPr>
      </w:pPr>
      <w:r w:rsidRPr="00DD653E">
        <w:rPr>
          <w:rFonts w:ascii="Aptos" w:hAnsi="Aptos"/>
          <w:b/>
          <w:bCs/>
        </w:rPr>
        <w:lastRenderedPageBreak/>
        <w:t>Bilag 2</w:t>
      </w:r>
      <w:r w:rsidRPr="00DD653E">
        <w:rPr>
          <w:rFonts w:ascii="Aptos" w:hAnsi="Aptos"/>
        </w:rPr>
        <w:fldChar w:fldCharType="begin"/>
      </w:r>
      <w:r w:rsidRPr="00DD653E">
        <w:rPr>
          <w:rFonts w:ascii="Aptos" w:hAnsi="Aptos"/>
        </w:rPr>
        <w:instrText xml:space="preserve"> LINK </w:instrText>
      </w:r>
      <w:r w:rsidR="005E64F5">
        <w:rPr>
          <w:rFonts w:ascii="Aptos" w:hAnsi="Aptos"/>
        </w:rPr>
        <w:instrText xml:space="preserve">Excel.Sheet.12 https://go.kl.dk/cases/SAG167/SAG-2025-00616/Dokumenter/opgørelse%20af%20bodeling.xlsx "Rettigheder og pligter!R2C1:R8C2" </w:instrText>
      </w:r>
      <w:r w:rsidRPr="00DD653E">
        <w:rPr>
          <w:rFonts w:ascii="Aptos" w:hAnsi="Aptos"/>
        </w:rPr>
        <w:instrText xml:space="preserve">\a \f 4 \h </w:instrText>
      </w:r>
      <w:r w:rsidR="00FF44B0" w:rsidRPr="00DD653E">
        <w:rPr>
          <w:rFonts w:ascii="Aptos" w:hAnsi="Aptos"/>
        </w:rPr>
        <w:instrText xml:space="preserve"> \* MERGEFORMAT </w:instrText>
      </w:r>
      <w:r w:rsidRPr="00DD653E">
        <w:rPr>
          <w:rFonts w:ascii="Aptos" w:hAnsi="Aptos"/>
        </w:rPr>
        <w:fldChar w:fldCharType="separate"/>
      </w:r>
    </w:p>
    <w:p w14:paraId="61DCE5F1" w14:textId="6FF28596" w:rsidR="0014214C" w:rsidRPr="00DD653E" w:rsidRDefault="0014214C" w:rsidP="00006A51">
      <w:pPr>
        <w:spacing w:after="0"/>
        <w:rPr>
          <w:rFonts w:ascii="Aptos" w:hAnsi="Aptos"/>
        </w:rPr>
      </w:pPr>
    </w:p>
    <w:tbl>
      <w:tblPr>
        <w:tblW w:w="9209" w:type="dxa"/>
        <w:tblCellMar>
          <w:left w:w="70" w:type="dxa"/>
          <w:right w:w="70" w:type="dxa"/>
        </w:tblCellMar>
        <w:tblLook w:val="04A0" w:firstRow="1" w:lastRow="0" w:firstColumn="1" w:lastColumn="0" w:noHBand="0" w:noVBand="1"/>
      </w:tblPr>
      <w:tblGrid>
        <w:gridCol w:w="3820"/>
        <w:gridCol w:w="5389"/>
      </w:tblGrid>
      <w:tr w:rsidR="0014214C" w:rsidRPr="00DD653E" w14:paraId="54048E6D" w14:textId="77777777" w:rsidTr="00AD74D6">
        <w:trPr>
          <w:divId w:val="249702841"/>
          <w:trHeight w:val="794"/>
        </w:trPr>
        <w:tc>
          <w:tcPr>
            <w:tcW w:w="3820" w:type="dxa"/>
            <w:tcBorders>
              <w:top w:val="single" w:sz="4" w:space="0" w:color="auto"/>
              <w:left w:val="single" w:sz="4" w:space="0" w:color="auto"/>
              <w:bottom w:val="single" w:sz="4" w:space="0" w:color="auto"/>
              <w:right w:val="single" w:sz="4" w:space="0" w:color="auto"/>
            </w:tcBorders>
            <w:noWrap/>
            <w:vAlign w:val="center"/>
            <w:hideMark/>
          </w:tcPr>
          <w:p w14:paraId="2C6F983B" w14:textId="4193E59F" w:rsidR="0014214C" w:rsidRPr="0048155A" w:rsidRDefault="0014214C" w:rsidP="00AB2A3C">
            <w:pPr>
              <w:spacing w:after="0" w:line="240" w:lineRule="auto"/>
              <w:rPr>
                <w:rFonts w:ascii="Aptos" w:eastAsia="Times New Roman" w:hAnsi="Aptos" w:cs="Times New Roman"/>
                <w:b/>
                <w:bCs/>
                <w:color w:val="000000"/>
                <w:kern w:val="0"/>
                <w:lang w:eastAsia="da-DK"/>
                <w14:ligatures w14:val="none"/>
              </w:rPr>
            </w:pPr>
            <w:r w:rsidRPr="0048155A">
              <w:rPr>
                <w:rFonts w:ascii="Aptos" w:eastAsia="Times New Roman" w:hAnsi="Aptos" w:cs="Times New Roman"/>
                <w:b/>
                <w:bCs/>
                <w:color w:val="000000"/>
                <w:kern w:val="0"/>
                <w:lang w:eastAsia="da-DK"/>
                <w14:ligatures w14:val="none"/>
              </w:rPr>
              <w:t>Rettigheder og pligter omfatter:</w:t>
            </w:r>
          </w:p>
        </w:tc>
        <w:tc>
          <w:tcPr>
            <w:tcW w:w="5389" w:type="dxa"/>
            <w:tcBorders>
              <w:top w:val="single" w:sz="4" w:space="0" w:color="auto"/>
              <w:left w:val="nil"/>
              <w:bottom w:val="single" w:sz="4" w:space="0" w:color="auto"/>
              <w:right w:val="single" w:sz="4" w:space="0" w:color="auto"/>
            </w:tcBorders>
            <w:vAlign w:val="center"/>
            <w:hideMark/>
          </w:tcPr>
          <w:p w14:paraId="502FC77B" w14:textId="77777777" w:rsidR="0014214C" w:rsidRPr="0048155A" w:rsidRDefault="0014214C" w:rsidP="00AB2A3C">
            <w:pPr>
              <w:spacing w:after="0" w:line="240" w:lineRule="auto"/>
              <w:rPr>
                <w:rFonts w:ascii="Aptos" w:eastAsia="Times New Roman" w:hAnsi="Aptos" w:cs="Times New Roman"/>
                <w:b/>
                <w:bCs/>
                <w:color w:val="000000"/>
                <w:kern w:val="0"/>
                <w:lang w:eastAsia="da-DK"/>
                <w14:ligatures w14:val="none"/>
              </w:rPr>
            </w:pPr>
            <w:r w:rsidRPr="0048155A">
              <w:rPr>
                <w:rFonts w:ascii="Aptos" w:eastAsia="Times New Roman" w:hAnsi="Aptos" w:cs="Times New Roman"/>
                <w:b/>
                <w:bCs/>
                <w:color w:val="000000"/>
                <w:kern w:val="0"/>
                <w:lang w:eastAsia="da-DK"/>
                <w14:ligatures w14:val="none"/>
              </w:rPr>
              <w:t>Hvad skal oplyses:</w:t>
            </w:r>
          </w:p>
        </w:tc>
      </w:tr>
      <w:tr w:rsidR="0014214C" w:rsidRPr="00DD653E" w14:paraId="0CB17F6F"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4DD8D625"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Lejeaftaler</w:t>
            </w:r>
          </w:p>
        </w:tc>
        <w:tc>
          <w:tcPr>
            <w:tcW w:w="5389" w:type="dxa"/>
            <w:tcBorders>
              <w:top w:val="nil"/>
              <w:left w:val="nil"/>
              <w:bottom w:val="single" w:sz="4" w:space="0" w:color="auto"/>
              <w:right w:val="single" w:sz="4" w:space="0" w:color="auto"/>
            </w:tcBorders>
            <w:vAlign w:val="center"/>
            <w:hideMark/>
          </w:tcPr>
          <w:p w14:paraId="129C2E86" w14:textId="51BE49E5" w:rsidR="00D63918"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aftalepart, genstandsfelt for aftale, opsigelsesvarsel, årlig omkostning</w:t>
            </w:r>
            <w:r w:rsidR="00D63918" w:rsidRPr="00DD653E">
              <w:rPr>
                <w:rFonts w:ascii="Aptos" w:eastAsia="Times New Roman" w:hAnsi="Aptos" w:cs="Times New Roman"/>
                <w:color w:val="000000"/>
                <w:kern w:val="0"/>
                <w:lang w:eastAsia="da-DK"/>
                <w14:ligatures w14:val="none"/>
              </w:rPr>
              <w:t>, udløbsdato</w:t>
            </w:r>
          </w:p>
        </w:tc>
      </w:tr>
      <w:tr w:rsidR="0014214C" w:rsidRPr="00DD653E" w14:paraId="533D45D4"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10727402"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Leasingaftaler</w:t>
            </w:r>
          </w:p>
        </w:tc>
        <w:tc>
          <w:tcPr>
            <w:tcW w:w="5389" w:type="dxa"/>
            <w:tcBorders>
              <w:top w:val="nil"/>
              <w:left w:val="nil"/>
              <w:bottom w:val="single" w:sz="4" w:space="0" w:color="auto"/>
              <w:right w:val="single" w:sz="4" w:space="0" w:color="auto"/>
            </w:tcBorders>
            <w:vAlign w:val="center"/>
            <w:hideMark/>
          </w:tcPr>
          <w:p w14:paraId="11D92A6D" w14:textId="44FA74F0"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aftalepart, genstandsfelt for aftale, opsigelsesvarsel, årlig omkostning</w:t>
            </w:r>
            <w:r w:rsidR="00D63918" w:rsidRPr="00DD653E">
              <w:rPr>
                <w:rFonts w:ascii="Aptos" w:eastAsia="Times New Roman" w:hAnsi="Aptos" w:cs="Times New Roman"/>
                <w:color w:val="000000"/>
                <w:kern w:val="0"/>
                <w:lang w:eastAsia="da-DK"/>
                <w14:ligatures w14:val="none"/>
              </w:rPr>
              <w:t>, udløbsdato</w:t>
            </w:r>
          </w:p>
        </w:tc>
      </w:tr>
      <w:tr w:rsidR="0014214C" w:rsidRPr="00DD653E" w14:paraId="36D19CDA"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70ACB2A0"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Serviceaftaler</w:t>
            </w:r>
          </w:p>
        </w:tc>
        <w:tc>
          <w:tcPr>
            <w:tcW w:w="5389" w:type="dxa"/>
            <w:tcBorders>
              <w:top w:val="nil"/>
              <w:left w:val="nil"/>
              <w:bottom w:val="single" w:sz="4" w:space="0" w:color="auto"/>
              <w:right w:val="single" w:sz="4" w:space="0" w:color="auto"/>
            </w:tcBorders>
            <w:vAlign w:val="center"/>
            <w:hideMark/>
          </w:tcPr>
          <w:p w14:paraId="2C4D9172" w14:textId="4FA1D48E"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aftalepart, genstandsfelt for aftale, opsigelsesvarsel, årlig omkostning</w:t>
            </w:r>
            <w:r w:rsidR="00D63918" w:rsidRPr="00DD653E">
              <w:rPr>
                <w:rFonts w:ascii="Aptos" w:eastAsia="Times New Roman" w:hAnsi="Aptos" w:cs="Times New Roman"/>
                <w:color w:val="000000"/>
                <w:kern w:val="0"/>
                <w:lang w:eastAsia="da-DK"/>
                <w14:ligatures w14:val="none"/>
              </w:rPr>
              <w:t>, udløbsdato</w:t>
            </w:r>
          </w:p>
        </w:tc>
      </w:tr>
      <w:tr w:rsidR="0014214C" w:rsidRPr="00DD653E" w14:paraId="1A4D927F"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227B3A41"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Kontrakter</w:t>
            </w:r>
          </w:p>
        </w:tc>
        <w:tc>
          <w:tcPr>
            <w:tcW w:w="5389" w:type="dxa"/>
            <w:tcBorders>
              <w:top w:val="nil"/>
              <w:left w:val="nil"/>
              <w:bottom w:val="single" w:sz="4" w:space="0" w:color="auto"/>
              <w:right w:val="single" w:sz="4" w:space="0" w:color="auto"/>
            </w:tcBorders>
            <w:vAlign w:val="center"/>
            <w:hideMark/>
          </w:tcPr>
          <w:p w14:paraId="6C768808" w14:textId="1AEF816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aftalepart, genstandsfelt for aftale, opsigelsesvarsel, årlig omkostning</w:t>
            </w:r>
            <w:r w:rsidR="00D63918" w:rsidRPr="00DD653E">
              <w:rPr>
                <w:rFonts w:ascii="Aptos" w:eastAsia="Times New Roman" w:hAnsi="Aptos" w:cs="Times New Roman"/>
                <w:color w:val="000000"/>
                <w:kern w:val="0"/>
                <w:lang w:eastAsia="da-DK"/>
                <w14:ligatures w14:val="none"/>
              </w:rPr>
              <w:t>, udløbsdato</w:t>
            </w:r>
          </w:p>
        </w:tc>
      </w:tr>
      <w:tr w:rsidR="0014214C" w:rsidRPr="00DD653E" w14:paraId="27AB1BD5"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2CF9C1B8"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Forsikringer</w:t>
            </w:r>
          </w:p>
        </w:tc>
        <w:tc>
          <w:tcPr>
            <w:tcW w:w="5389" w:type="dxa"/>
            <w:tcBorders>
              <w:top w:val="nil"/>
              <w:left w:val="nil"/>
              <w:bottom w:val="single" w:sz="4" w:space="0" w:color="auto"/>
              <w:right w:val="single" w:sz="4" w:space="0" w:color="auto"/>
            </w:tcBorders>
            <w:vAlign w:val="center"/>
            <w:hideMark/>
          </w:tcPr>
          <w:p w14:paraId="04897070" w14:textId="7B7E0E8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aftalepart, genstandsfelt for aftale, opsigelsesvarsel, årlig omkostning</w:t>
            </w:r>
            <w:r w:rsidR="00D63918" w:rsidRPr="00DD653E">
              <w:rPr>
                <w:rFonts w:ascii="Aptos" w:eastAsia="Times New Roman" w:hAnsi="Aptos" w:cs="Times New Roman"/>
                <w:color w:val="000000"/>
                <w:kern w:val="0"/>
                <w:lang w:eastAsia="da-DK"/>
                <w14:ligatures w14:val="none"/>
              </w:rPr>
              <w:t>, udløbsdato</w:t>
            </w:r>
          </w:p>
        </w:tc>
      </w:tr>
      <w:tr w:rsidR="0014214C" w:rsidRPr="00DD653E" w14:paraId="66A79C37" w14:textId="77777777" w:rsidTr="00AD74D6">
        <w:trPr>
          <w:divId w:val="249702841"/>
          <w:trHeight w:val="794"/>
        </w:trPr>
        <w:tc>
          <w:tcPr>
            <w:tcW w:w="3820" w:type="dxa"/>
            <w:tcBorders>
              <w:top w:val="nil"/>
              <w:left w:val="single" w:sz="4" w:space="0" w:color="auto"/>
              <w:bottom w:val="single" w:sz="4" w:space="0" w:color="auto"/>
              <w:right w:val="single" w:sz="4" w:space="0" w:color="auto"/>
            </w:tcBorders>
            <w:noWrap/>
            <w:vAlign w:val="center"/>
            <w:hideMark/>
          </w:tcPr>
          <w:p w14:paraId="6A57751F" w14:textId="77777777" w:rsidR="0014214C" w:rsidRPr="00DD653E" w:rsidRDefault="0014214C" w:rsidP="00AB2A3C">
            <w:pPr>
              <w:spacing w:after="0" w:line="240" w:lineRule="auto"/>
              <w:rPr>
                <w:rFonts w:ascii="Aptos" w:hAnsi="Aptos"/>
                <w:i/>
                <w:iCs/>
              </w:rPr>
            </w:pPr>
            <w:r w:rsidRPr="00DD653E">
              <w:rPr>
                <w:rFonts w:ascii="Aptos" w:eastAsia="Times New Roman" w:hAnsi="Aptos" w:cs="Times New Roman"/>
                <w:color w:val="000000"/>
                <w:kern w:val="0"/>
                <w:lang w:eastAsia="da-DK"/>
                <w14:ligatures w14:val="none"/>
              </w:rPr>
              <w:t>Øvrige rettigheder og pligter</w:t>
            </w:r>
          </w:p>
        </w:tc>
        <w:tc>
          <w:tcPr>
            <w:tcW w:w="5389" w:type="dxa"/>
            <w:tcBorders>
              <w:top w:val="nil"/>
              <w:left w:val="nil"/>
              <w:bottom w:val="single" w:sz="4" w:space="0" w:color="auto"/>
              <w:right w:val="single" w:sz="4" w:space="0" w:color="auto"/>
            </w:tcBorders>
            <w:vAlign w:val="center"/>
            <w:hideMark/>
          </w:tcPr>
          <w:p w14:paraId="38350FB0" w14:textId="77777777" w:rsidR="0014214C" w:rsidRPr="00DD653E" w:rsidRDefault="0014214C" w:rsidP="00AB2A3C">
            <w:pPr>
              <w:spacing w:after="0" w:line="240" w:lineRule="auto"/>
              <w:rPr>
                <w:rFonts w:ascii="Aptos" w:eastAsia="Times New Roman" w:hAnsi="Aptos" w:cs="Times New Roman"/>
                <w:color w:val="000000"/>
                <w:kern w:val="0"/>
                <w:lang w:eastAsia="da-DK"/>
                <w14:ligatures w14:val="none"/>
              </w:rPr>
            </w:pPr>
            <w:r w:rsidRPr="00DD653E">
              <w:rPr>
                <w:rFonts w:ascii="Aptos" w:eastAsia="Times New Roman" w:hAnsi="Aptos" w:cs="Times New Roman"/>
                <w:color w:val="000000"/>
                <w:kern w:val="0"/>
                <w:lang w:eastAsia="da-DK"/>
                <w14:ligatures w14:val="none"/>
              </w:rPr>
              <w:t> </w:t>
            </w:r>
          </w:p>
        </w:tc>
      </w:tr>
    </w:tbl>
    <w:p w14:paraId="1DE64BFC" w14:textId="0038B7F7" w:rsidR="00511912" w:rsidRPr="00DD653E" w:rsidRDefault="00511912" w:rsidP="00791EB0">
      <w:pPr>
        <w:spacing w:after="0"/>
        <w:rPr>
          <w:rFonts w:ascii="Aptos" w:hAnsi="Aptos"/>
          <w:b/>
          <w:bCs/>
        </w:rPr>
      </w:pPr>
      <w:r w:rsidRPr="00DD653E">
        <w:rPr>
          <w:rFonts w:ascii="Aptos" w:hAnsi="Aptos"/>
          <w:b/>
          <w:bCs/>
        </w:rPr>
        <w:fldChar w:fldCharType="end"/>
      </w:r>
    </w:p>
    <w:p w14:paraId="450C9C7A" w14:textId="77777777" w:rsidR="00364FA2" w:rsidRPr="00DD653E" w:rsidRDefault="00364FA2" w:rsidP="00791EB0">
      <w:pPr>
        <w:spacing w:after="0"/>
        <w:rPr>
          <w:rFonts w:ascii="Aptos" w:hAnsi="Aptos"/>
          <w:b/>
          <w:bCs/>
        </w:rPr>
      </w:pPr>
    </w:p>
    <w:p w14:paraId="5E5408B3" w14:textId="77777777" w:rsidR="00791EB0" w:rsidRPr="00DD653E" w:rsidRDefault="00791EB0" w:rsidP="00791EB0">
      <w:pPr>
        <w:spacing w:after="0"/>
        <w:rPr>
          <w:rFonts w:ascii="Aptos" w:hAnsi="Aptos"/>
          <w:b/>
          <w:bCs/>
        </w:rPr>
      </w:pPr>
    </w:p>
    <w:p w14:paraId="0439B1E8" w14:textId="0145EEDC" w:rsidR="007E1D34" w:rsidRPr="007E1D34" w:rsidRDefault="007E1D34" w:rsidP="007E1D34">
      <w:pPr>
        <w:tabs>
          <w:tab w:val="left" w:pos="2715"/>
        </w:tabs>
      </w:pPr>
    </w:p>
    <w:sectPr w:rsidR="007E1D34" w:rsidRPr="007E1D34" w:rsidSect="00CB0EB3">
      <w:headerReference w:type="default" r:id="rId12"/>
      <w:footerReference w:type="default" r:id="rId13"/>
      <w:headerReference w:type="first" r:id="rId14"/>
      <w:footerReference w:type="first" r:id="rId15"/>
      <w:pgSz w:w="11906" w:h="16838"/>
      <w:pgMar w:top="1701"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28D2" w14:textId="77777777" w:rsidR="0053358D" w:rsidRDefault="0053358D" w:rsidP="00A7121C">
      <w:pPr>
        <w:spacing w:after="0" w:line="240" w:lineRule="auto"/>
      </w:pPr>
      <w:r>
        <w:separator/>
      </w:r>
    </w:p>
  </w:endnote>
  <w:endnote w:type="continuationSeparator" w:id="0">
    <w:p w14:paraId="6E2DBFA2" w14:textId="77777777" w:rsidR="0053358D" w:rsidRDefault="0053358D" w:rsidP="00A7121C">
      <w:pPr>
        <w:spacing w:after="0" w:line="240" w:lineRule="auto"/>
      </w:pPr>
      <w:r>
        <w:continuationSeparator/>
      </w:r>
    </w:p>
  </w:endnote>
  <w:endnote w:type="continuationNotice" w:id="1">
    <w:p w14:paraId="45D01256" w14:textId="77777777" w:rsidR="0053358D" w:rsidRDefault="00533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048506"/>
      <w:docPartObj>
        <w:docPartGallery w:val="Page Numbers (Bottom of Page)"/>
        <w:docPartUnique/>
      </w:docPartObj>
    </w:sdtPr>
    <w:sdtEndPr/>
    <w:sdtContent>
      <w:p w14:paraId="22DAF263" w14:textId="0A03E5EF" w:rsidR="00A7121C" w:rsidRDefault="006C11C2" w:rsidP="006C11C2">
        <w:pPr>
          <w:pStyle w:val="Sidefod"/>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4509"/>
      <w:docPartObj>
        <w:docPartGallery w:val="Page Numbers (Bottom of Page)"/>
        <w:docPartUnique/>
      </w:docPartObj>
    </w:sdtPr>
    <w:sdtEndPr/>
    <w:sdtContent>
      <w:p w14:paraId="228E10E9" w14:textId="2A518723" w:rsidR="006C11C2" w:rsidRDefault="006C11C2" w:rsidP="006C11C2">
        <w:pPr>
          <w:pStyle w:val="Sidefod"/>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1567" w14:textId="77777777" w:rsidR="0053358D" w:rsidRDefault="0053358D" w:rsidP="00A7121C">
      <w:pPr>
        <w:spacing w:after="0" w:line="240" w:lineRule="auto"/>
      </w:pPr>
      <w:r>
        <w:separator/>
      </w:r>
    </w:p>
  </w:footnote>
  <w:footnote w:type="continuationSeparator" w:id="0">
    <w:p w14:paraId="00297113" w14:textId="77777777" w:rsidR="0053358D" w:rsidRDefault="0053358D" w:rsidP="00A7121C">
      <w:pPr>
        <w:spacing w:after="0" w:line="240" w:lineRule="auto"/>
      </w:pPr>
      <w:r>
        <w:continuationSeparator/>
      </w:r>
    </w:p>
  </w:footnote>
  <w:footnote w:type="continuationNotice" w:id="1">
    <w:p w14:paraId="44AE44DD" w14:textId="77777777" w:rsidR="0053358D" w:rsidRDefault="0053358D">
      <w:pPr>
        <w:spacing w:after="0" w:line="240" w:lineRule="auto"/>
      </w:pPr>
    </w:p>
  </w:footnote>
  <w:footnote w:id="2">
    <w:p w14:paraId="4685F2CD" w14:textId="539080D7" w:rsidR="00331820" w:rsidRDefault="00331820">
      <w:pPr>
        <w:pStyle w:val="Fodnotetekst"/>
      </w:pPr>
      <w:r>
        <w:rPr>
          <w:rStyle w:val="Fodnotehenvisning"/>
        </w:rPr>
        <w:footnoteRef/>
      </w:r>
      <w:r>
        <w:t xml:space="preserve"> </w:t>
      </w:r>
      <w:r w:rsidR="009F0DB8">
        <w:t xml:space="preserve">Det vil </w:t>
      </w:r>
      <w:r w:rsidR="00CC0F0C">
        <w:t xml:space="preserve">i forbindelse med udstedelsen af </w:t>
      </w:r>
      <w:r w:rsidR="00CC4664">
        <w:t>b</w:t>
      </w:r>
      <w:r w:rsidR="00CC0F0C" w:rsidRPr="00CC0F0C">
        <w:t>ekendtgørelse om overgangen til en ny sundhedsstruktur</w:t>
      </w:r>
      <w:r w:rsidR="00CC4664">
        <w:t xml:space="preserve"> blive afklaret</w:t>
      </w:r>
      <w:r w:rsidR="00C329A0">
        <w:t>,</w:t>
      </w:r>
      <w:r w:rsidR="00CC4664">
        <w:t xml:space="preserve"> hvorvidt kommuner skal kompensere regioner for optjent, ikke afholdt ferie for relevante medarbejdere.</w:t>
      </w:r>
    </w:p>
  </w:footnote>
  <w:footnote w:id="3">
    <w:p w14:paraId="2FF83D3C" w14:textId="566678AD" w:rsidR="00AA6732" w:rsidRDefault="00AA6732">
      <w:pPr>
        <w:pStyle w:val="Fodnotetekst"/>
      </w:pPr>
      <w:r>
        <w:rPr>
          <w:rStyle w:val="Fodnotehenvisning"/>
        </w:rPr>
        <w:footnoteRef/>
      </w:r>
      <w:r>
        <w:t xml:space="preserve"> Det vil i forbindelse med udstedelsen af b</w:t>
      </w:r>
      <w:r w:rsidRPr="00CC0F0C">
        <w:t>ekendtgørelse om overgangen til en ny sundhedsstruktur</w:t>
      </w:r>
      <w:r>
        <w:t xml:space="preserve"> blive afklaret, hvorvidt kommuner skal kompensere regioner for øvrige passiver såsom fagretlige sager, arbejdsskader mv. </w:t>
      </w:r>
    </w:p>
  </w:footnote>
  <w:footnote w:id="4">
    <w:p w14:paraId="7C9124D7" w14:textId="48F867C3" w:rsidR="008B060F" w:rsidRDefault="008B060F">
      <w:pPr>
        <w:pStyle w:val="Fodnotetekst"/>
      </w:pPr>
      <w:r>
        <w:rPr>
          <w:rStyle w:val="Fodnotehenvisning"/>
        </w:rPr>
        <w:footnoteRef/>
      </w:r>
      <w:r>
        <w:t xml:space="preserve"> Rækkevidden af kommunernes forpligtelse</w:t>
      </w:r>
      <w:r w:rsidR="002154BA">
        <w:t xml:space="preserve"> i forhold til fx erstatningskrav for skadevoldende handlinger </w:t>
      </w:r>
      <w:r w:rsidR="00453BC8">
        <w:t>begået før overførselstidspunktet afklares endeligt i forbindelse med udstedelsen af b</w:t>
      </w:r>
      <w:r w:rsidR="00453BC8" w:rsidRPr="00453BC8">
        <w:t>ekendtgørelse om overgangen til en ny sundhedsstruktur</w:t>
      </w:r>
      <w:r w:rsidR="00453BC8">
        <w:t xml:space="preserve"> </w:t>
      </w:r>
      <w:r w:rsidR="002154BA">
        <w:t xml:space="preserve"> </w:t>
      </w:r>
    </w:p>
  </w:footnote>
  <w:footnote w:id="5">
    <w:p w14:paraId="14F54A20" w14:textId="77777777" w:rsidR="00CD21C1" w:rsidRDefault="00CD21C1" w:rsidP="00CD21C1">
      <w:pPr>
        <w:pStyle w:val="Fodnotetekst"/>
      </w:pPr>
      <w:r>
        <w:rPr>
          <w:rStyle w:val="Fodnotehenvisning"/>
        </w:rPr>
        <w:footnoteRef/>
      </w:r>
      <w:r>
        <w:t xml:space="preserve"> Det vil i forbindelse med udstedelsen af b</w:t>
      </w:r>
      <w:r w:rsidRPr="00CC0F0C">
        <w:t>ekendtgørelse om overgangen til en ny sundhedsstruktur</w:t>
      </w:r>
      <w:r>
        <w:t xml:space="preserve"> blive afklaret hvorvidt kommuner skal kompensere regioner for optjent, ikke afholdt ferie for relevante medarbejdere.</w:t>
      </w:r>
    </w:p>
  </w:footnote>
  <w:footnote w:id="6">
    <w:p w14:paraId="2D7EBB5A" w14:textId="77777777" w:rsidR="00A36BB7" w:rsidRDefault="00A36BB7" w:rsidP="00A36BB7">
      <w:pPr>
        <w:pStyle w:val="Fodnotetekst"/>
      </w:pPr>
      <w:r>
        <w:rPr>
          <w:rStyle w:val="Fodnotehenvisning"/>
        </w:rPr>
        <w:footnoteRef/>
      </w:r>
      <w:r>
        <w:t xml:space="preserve"> Det vil i forbindelse med udstedelsen af b</w:t>
      </w:r>
      <w:r w:rsidRPr="00CC0F0C">
        <w:t>ekendtgørelse om overgangen til en ny sundhedsstruktur</w:t>
      </w:r>
      <w:r>
        <w:t xml:space="preserve"> blive afklaret hvorvidt kommuner skal kompensere regioner for optjent, ikke afholdt ferie for relevante medarbejdere.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DDBB" w14:textId="3D6D6227" w:rsidR="00D75B0D" w:rsidRPr="00D75B0D" w:rsidRDefault="00D75B0D" w:rsidP="00D75B0D">
    <w:pPr>
      <w:pStyle w:val="Sidehoved"/>
      <w:jc w:val="right"/>
    </w:pPr>
    <w:r w:rsidRPr="00D75B0D">
      <w:rPr>
        <w:noProof/>
      </w:rPr>
      <w:drawing>
        <wp:anchor distT="0" distB="0" distL="114300" distR="114300" simplePos="0" relativeHeight="251656192" behindDoc="1" locked="0" layoutInCell="1" allowOverlap="1" wp14:anchorId="41622FAD" wp14:editId="5B158344">
          <wp:simplePos x="0" y="0"/>
          <wp:positionH relativeFrom="column">
            <wp:posOffset>3810</wp:posOffset>
          </wp:positionH>
          <wp:positionV relativeFrom="paragraph">
            <wp:posOffset>-1905</wp:posOffset>
          </wp:positionV>
          <wp:extent cx="657225" cy="398031"/>
          <wp:effectExtent l="0" t="0" r="0" b="2540"/>
          <wp:wrapNone/>
          <wp:docPr id="1293203193" name="Billede 2" descr="Et billede, der indeholder skærmbillede, Elektrisk blå, Grafik, blå/nedtryk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6138" name="Billede 2" descr="Et billede, der indeholder skærmbillede, Elektrisk blå, Grafik, blå/nedtrykt&#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21" cy="4031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88757A" wp14:editId="526D25F3">
          <wp:extent cx="1323282" cy="419447"/>
          <wp:effectExtent l="0" t="0" r="0" b="0"/>
          <wp:docPr id="1344882823" name="Billede 5" descr="Et billede, der indeholder Font/skrifttype, tekst, Grafik, grø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91387" name="Billede 5" descr="Et billede, der indeholder Font/skrifttype, tekst, Grafik, grøn&#10;&#10;AI-genereret indhold kan være ukorrek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109" cy="438094"/>
                  </a:xfrm>
                  <a:prstGeom prst="rect">
                    <a:avLst/>
                  </a:prstGeom>
                  <a:noFill/>
                  <a:ln>
                    <a:noFill/>
                  </a:ln>
                </pic:spPr>
              </pic:pic>
            </a:graphicData>
          </a:graphic>
        </wp:inline>
      </w:drawing>
    </w:r>
  </w:p>
  <w:p w14:paraId="3DACCE0C" w14:textId="035B1B95" w:rsidR="000E7AB4" w:rsidRDefault="000E7A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CD33" w14:textId="3BD18881" w:rsidR="00D75B0D" w:rsidRPr="00D75B0D" w:rsidRDefault="003E4F1A" w:rsidP="008706A4">
    <w:pPr>
      <w:pStyle w:val="Sidehoved"/>
      <w:tabs>
        <w:tab w:val="clear" w:pos="1276"/>
        <w:tab w:val="clear" w:pos="4819"/>
        <w:tab w:val="clear" w:pos="9638"/>
        <w:tab w:val="left" w:pos="2160"/>
      </w:tabs>
    </w:pPr>
    <w:r>
      <w:rPr>
        <w:noProof/>
      </w:rPr>
      <w:drawing>
        <wp:anchor distT="0" distB="0" distL="114300" distR="114300" simplePos="0" relativeHeight="251658240" behindDoc="1" locked="0" layoutInCell="1" allowOverlap="1" wp14:anchorId="353B9437" wp14:editId="318434A7">
          <wp:simplePos x="0" y="0"/>
          <wp:positionH relativeFrom="column">
            <wp:posOffset>4299585</wp:posOffset>
          </wp:positionH>
          <wp:positionV relativeFrom="paragraph">
            <wp:posOffset>-1905</wp:posOffset>
          </wp:positionV>
          <wp:extent cx="1857375" cy="588761"/>
          <wp:effectExtent l="0" t="0" r="0" b="1905"/>
          <wp:wrapNone/>
          <wp:docPr id="777217822" name="Billede 6" descr="Et billede, der indeholder Font/skrifttype, tekst, Grafik, grø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31549" name="Billede 6" descr="Et billede, der indeholder Font/skrifttype, tekst, Grafik, grø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887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B0D">
      <w:rPr>
        <w:noProof/>
      </w:rPr>
      <w:drawing>
        <wp:anchor distT="0" distB="0" distL="114300" distR="114300" simplePos="0" relativeHeight="251657216" behindDoc="1" locked="0" layoutInCell="1" allowOverlap="1" wp14:anchorId="46AF24CE" wp14:editId="6A21214B">
          <wp:simplePos x="0" y="0"/>
          <wp:positionH relativeFrom="column">
            <wp:posOffset>3810</wp:posOffset>
          </wp:positionH>
          <wp:positionV relativeFrom="paragraph">
            <wp:posOffset>-1905</wp:posOffset>
          </wp:positionV>
          <wp:extent cx="990838" cy="600075"/>
          <wp:effectExtent l="0" t="0" r="0" b="0"/>
          <wp:wrapNone/>
          <wp:docPr id="1392749085" name="Billede 4" descr="Et billede, der indeholder skærmbillede, Elektrisk blå, Grafik, blå/nedtryk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96247" name="Billede 4" descr="Et billede, der indeholder skærmbillede, Elektrisk blå, Grafik, blå/nedtrykt&#10;&#10;AI-genereret indhold kan være ukorrek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691" cy="606648"/>
                  </a:xfrm>
                  <a:prstGeom prst="rect">
                    <a:avLst/>
                  </a:prstGeom>
                  <a:noFill/>
                  <a:ln>
                    <a:noFill/>
                  </a:ln>
                </pic:spPr>
              </pic:pic>
            </a:graphicData>
          </a:graphic>
          <wp14:sizeRelH relativeFrom="page">
            <wp14:pctWidth>0</wp14:pctWidth>
          </wp14:sizeRelH>
          <wp14:sizeRelV relativeFrom="page">
            <wp14:pctHeight>0</wp14:pctHeight>
          </wp14:sizeRelV>
        </wp:anchor>
      </w:drawing>
    </w:r>
    <w:r w:rsidR="008706A4">
      <w:tab/>
    </w:r>
  </w:p>
  <w:p w14:paraId="78ACB399" w14:textId="77777777" w:rsidR="000E7AB4" w:rsidRDefault="000E7A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5755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61D0B"/>
    <w:multiLevelType w:val="hybridMultilevel"/>
    <w:tmpl w:val="98E89E84"/>
    <w:lvl w:ilvl="0" w:tplc="1A64CC92">
      <w:start w:val="5"/>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07262B"/>
    <w:multiLevelType w:val="hybridMultilevel"/>
    <w:tmpl w:val="230A8EF4"/>
    <w:lvl w:ilvl="0" w:tplc="981CD2DE">
      <w:start w:val="5"/>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851882"/>
    <w:multiLevelType w:val="hybridMultilevel"/>
    <w:tmpl w:val="F620EF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356C32"/>
    <w:multiLevelType w:val="hybridMultilevel"/>
    <w:tmpl w:val="2BEEBE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BC7D30"/>
    <w:multiLevelType w:val="hybridMultilevel"/>
    <w:tmpl w:val="C7FECF5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0CB6481"/>
    <w:multiLevelType w:val="hybridMultilevel"/>
    <w:tmpl w:val="5B0E87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1F198C"/>
    <w:multiLevelType w:val="hybridMultilevel"/>
    <w:tmpl w:val="81006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8E3740"/>
    <w:multiLevelType w:val="hybridMultilevel"/>
    <w:tmpl w:val="8D9C18D8"/>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252F3BE9"/>
    <w:multiLevelType w:val="hybridMultilevel"/>
    <w:tmpl w:val="1D0A8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293548"/>
    <w:multiLevelType w:val="hybridMultilevel"/>
    <w:tmpl w:val="6ED8D4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3AE69FA"/>
    <w:multiLevelType w:val="hybridMultilevel"/>
    <w:tmpl w:val="AD60D1D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6370B2A"/>
    <w:multiLevelType w:val="hybridMultilevel"/>
    <w:tmpl w:val="F0FE03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93D95"/>
    <w:multiLevelType w:val="hybridMultilevel"/>
    <w:tmpl w:val="5CA818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6C6ABC"/>
    <w:multiLevelType w:val="hybridMultilevel"/>
    <w:tmpl w:val="166E00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28701A0"/>
    <w:multiLevelType w:val="hybridMultilevel"/>
    <w:tmpl w:val="F774E7DE"/>
    <w:lvl w:ilvl="0" w:tplc="D0A28098">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463047"/>
    <w:multiLevelType w:val="hybridMultilevel"/>
    <w:tmpl w:val="94063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0F17E9"/>
    <w:multiLevelType w:val="hybridMultilevel"/>
    <w:tmpl w:val="0FDA6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9C7185"/>
    <w:multiLevelType w:val="hybridMultilevel"/>
    <w:tmpl w:val="8D92BF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68F7720"/>
    <w:multiLevelType w:val="hybridMultilevel"/>
    <w:tmpl w:val="C35A0D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FB4B0B"/>
    <w:multiLevelType w:val="hybridMultilevel"/>
    <w:tmpl w:val="6D6063BC"/>
    <w:lvl w:ilvl="0" w:tplc="D0A28098">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696342"/>
    <w:multiLevelType w:val="hybridMultilevel"/>
    <w:tmpl w:val="6568DD00"/>
    <w:lvl w:ilvl="0" w:tplc="1A64CC92">
      <w:start w:val="5"/>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DC92532"/>
    <w:multiLevelType w:val="hybridMultilevel"/>
    <w:tmpl w:val="5FFE0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A93330"/>
    <w:multiLevelType w:val="hybridMultilevel"/>
    <w:tmpl w:val="E6EC8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702590"/>
    <w:multiLevelType w:val="hybridMultilevel"/>
    <w:tmpl w:val="1C3A1C54"/>
    <w:lvl w:ilvl="0" w:tplc="6206FFE0">
      <w:start w:val="1"/>
      <w:numFmt w:val="bullet"/>
      <w:lvlText w:val="–"/>
      <w:lvlJc w:val="left"/>
      <w:pPr>
        <w:ind w:left="720" w:hanging="360"/>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5704C97"/>
    <w:multiLevelType w:val="hybridMultilevel"/>
    <w:tmpl w:val="1C625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89C7A24"/>
    <w:multiLevelType w:val="hybridMultilevel"/>
    <w:tmpl w:val="1354F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93268BF"/>
    <w:multiLevelType w:val="hybridMultilevel"/>
    <w:tmpl w:val="8B86FF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23354B5"/>
    <w:multiLevelType w:val="hybridMultilevel"/>
    <w:tmpl w:val="CF5823F0"/>
    <w:lvl w:ilvl="0" w:tplc="6206FFE0">
      <w:start w:val="1"/>
      <w:numFmt w:val="bullet"/>
      <w:lvlText w:val="–"/>
      <w:lvlJc w:val="left"/>
      <w:pPr>
        <w:ind w:left="720" w:hanging="360"/>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2C24D2D"/>
    <w:multiLevelType w:val="hybridMultilevel"/>
    <w:tmpl w:val="1BF02B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88726DC"/>
    <w:multiLevelType w:val="hybridMultilevel"/>
    <w:tmpl w:val="E1FE5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047241"/>
    <w:multiLevelType w:val="hybridMultilevel"/>
    <w:tmpl w:val="EF38E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C116ED9"/>
    <w:multiLevelType w:val="hybridMultilevel"/>
    <w:tmpl w:val="870EC8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D271CC1"/>
    <w:multiLevelType w:val="hybridMultilevel"/>
    <w:tmpl w:val="DCFAF968"/>
    <w:lvl w:ilvl="0" w:tplc="0406000F">
      <w:start w:val="1"/>
      <w:numFmt w:val="decimal"/>
      <w:lvlText w:val="%1."/>
      <w:lvlJc w:val="left"/>
      <w:pPr>
        <w:ind w:left="1080" w:hanging="360"/>
      </w:pPr>
      <w:rPr>
        <w:rFont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7F41AE"/>
    <w:multiLevelType w:val="hybridMultilevel"/>
    <w:tmpl w:val="D2DCBB98"/>
    <w:lvl w:ilvl="0" w:tplc="D0A28098">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9"/>
  </w:num>
  <w:num w:numId="4">
    <w:abstractNumId w:val="3"/>
  </w:num>
  <w:num w:numId="5">
    <w:abstractNumId w:val="34"/>
  </w:num>
  <w:num w:numId="6">
    <w:abstractNumId w:val="20"/>
  </w:num>
  <w:num w:numId="7">
    <w:abstractNumId w:val="15"/>
  </w:num>
  <w:num w:numId="8">
    <w:abstractNumId w:val="6"/>
  </w:num>
  <w:num w:numId="9">
    <w:abstractNumId w:val="4"/>
  </w:num>
  <w:num w:numId="10">
    <w:abstractNumId w:val="7"/>
  </w:num>
  <w:num w:numId="11">
    <w:abstractNumId w:val="27"/>
  </w:num>
  <w:num w:numId="12">
    <w:abstractNumId w:val="11"/>
  </w:num>
  <w:num w:numId="13">
    <w:abstractNumId w:val="12"/>
  </w:num>
  <w:num w:numId="14">
    <w:abstractNumId w:val="22"/>
  </w:num>
  <w:num w:numId="15">
    <w:abstractNumId w:val="10"/>
  </w:num>
  <w:num w:numId="16">
    <w:abstractNumId w:val="30"/>
  </w:num>
  <w:num w:numId="17">
    <w:abstractNumId w:val="17"/>
  </w:num>
  <w:num w:numId="18">
    <w:abstractNumId w:val="18"/>
  </w:num>
  <w:num w:numId="19">
    <w:abstractNumId w:val="13"/>
  </w:num>
  <w:num w:numId="20">
    <w:abstractNumId w:val="9"/>
  </w:num>
  <w:num w:numId="21">
    <w:abstractNumId w:val="29"/>
  </w:num>
  <w:num w:numId="22">
    <w:abstractNumId w:val="24"/>
  </w:num>
  <w:num w:numId="23">
    <w:abstractNumId w:val="28"/>
  </w:num>
  <w:num w:numId="24">
    <w:abstractNumId w:val="33"/>
  </w:num>
  <w:num w:numId="25">
    <w:abstractNumId w:val="25"/>
  </w:num>
  <w:num w:numId="26">
    <w:abstractNumId w:val="31"/>
  </w:num>
  <w:num w:numId="27">
    <w:abstractNumId w:val="1"/>
  </w:num>
  <w:num w:numId="28">
    <w:abstractNumId w:val="21"/>
  </w:num>
  <w:num w:numId="29">
    <w:abstractNumId w:val="5"/>
  </w:num>
  <w:num w:numId="30">
    <w:abstractNumId w:val="32"/>
  </w:num>
  <w:num w:numId="31">
    <w:abstractNumId w:val="2"/>
  </w:num>
  <w:num w:numId="32">
    <w:abstractNumId w:val="14"/>
  </w:num>
  <w:num w:numId="33">
    <w:abstractNumId w:val="0"/>
  </w:num>
  <w:num w:numId="34">
    <w:abstractNumId w:val="16"/>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A2"/>
    <w:rsid w:val="00002B01"/>
    <w:rsid w:val="00006A51"/>
    <w:rsid w:val="00010E50"/>
    <w:rsid w:val="000121ED"/>
    <w:rsid w:val="00017DFB"/>
    <w:rsid w:val="00025AAC"/>
    <w:rsid w:val="00030D6E"/>
    <w:rsid w:val="0003357A"/>
    <w:rsid w:val="00034170"/>
    <w:rsid w:val="00040147"/>
    <w:rsid w:val="00042FD8"/>
    <w:rsid w:val="00056A0D"/>
    <w:rsid w:val="00064697"/>
    <w:rsid w:val="00070290"/>
    <w:rsid w:val="00070498"/>
    <w:rsid w:val="00071970"/>
    <w:rsid w:val="00071A1C"/>
    <w:rsid w:val="0007303A"/>
    <w:rsid w:val="00083B75"/>
    <w:rsid w:val="00086998"/>
    <w:rsid w:val="00093853"/>
    <w:rsid w:val="00095994"/>
    <w:rsid w:val="00097CA8"/>
    <w:rsid w:val="000A4733"/>
    <w:rsid w:val="000A50CF"/>
    <w:rsid w:val="000A6B12"/>
    <w:rsid w:val="000B2270"/>
    <w:rsid w:val="000B3479"/>
    <w:rsid w:val="000C0371"/>
    <w:rsid w:val="000C3CEB"/>
    <w:rsid w:val="000D3418"/>
    <w:rsid w:val="000D369C"/>
    <w:rsid w:val="000D38C2"/>
    <w:rsid w:val="000D3BBF"/>
    <w:rsid w:val="000D3FA2"/>
    <w:rsid w:val="000E00CE"/>
    <w:rsid w:val="000E3326"/>
    <w:rsid w:val="000E57E2"/>
    <w:rsid w:val="000E7AB4"/>
    <w:rsid w:val="000F6FCC"/>
    <w:rsid w:val="000F7AA7"/>
    <w:rsid w:val="001030F9"/>
    <w:rsid w:val="001043A5"/>
    <w:rsid w:val="00104BC8"/>
    <w:rsid w:val="00105F12"/>
    <w:rsid w:val="001102D9"/>
    <w:rsid w:val="00111538"/>
    <w:rsid w:val="0012018E"/>
    <w:rsid w:val="00120A8B"/>
    <w:rsid w:val="00121BBF"/>
    <w:rsid w:val="00123677"/>
    <w:rsid w:val="00123845"/>
    <w:rsid w:val="00124616"/>
    <w:rsid w:val="001259DF"/>
    <w:rsid w:val="00131DE1"/>
    <w:rsid w:val="00135651"/>
    <w:rsid w:val="0014199D"/>
    <w:rsid w:val="0014214C"/>
    <w:rsid w:val="0014287B"/>
    <w:rsid w:val="0014605B"/>
    <w:rsid w:val="001501D5"/>
    <w:rsid w:val="00150E9D"/>
    <w:rsid w:val="00151647"/>
    <w:rsid w:val="00152257"/>
    <w:rsid w:val="00157274"/>
    <w:rsid w:val="00157457"/>
    <w:rsid w:val="00157770"/>
    <w:rsid w:val="00170A15"/>
    <w:rsid w:val="0017154A"/>
    <w:rsid w:val="00172821"/>
    <w:rsid w:val="00173C7B"/>
    <w:rsid w:val="001770E5"/>
    <w:rsid w:val="00180BD0"/>
    <w:rsid w:val="00181BBE"/>
    <w:rsid w:val="00186D16"/>
    <w:rsid w:val="0019235C"/>
    <w:rsid w:val="001939CB"/>
    <w:rsid w:val="001967CD"/>
    <w:rsid w:val="001A0F57"/>
    <w:rsid w:val="001A75BE"/>
    <w:rsid w:val="001B3C81"/>
    <w:rsid w:val="001B5F70"/>
    <w:rsid w:val="001B6584"/>
    <w:rsid w:val="001C618F"/>
    <w:rsid w:val="001D16C6"/>
    <w:rsid w:val="001D5DF6"/>
    <w:rsid w:val="001E0692"/>
    <w:rsid w:val="001E4BA1"/>
    <w:rsid w:val="001E7FE8"/>
    <w:rsid w:val="001F0E85"/>
    <w:rsid w:val="001F3AC2"/>
    <w:rsid w:val="001F5A44"/>
    <w:rsid w:val="001F7F07"/>
    <w:rsid w:val="00200226"/>
    <w:rsid w:val="00200D7D"/>
    <w:rsid w:val="00201C70"/>
    <w:rsid w:val="00204EB8"/>
    <w:rsid w:val="00210293"/>
    <w:rsid w:val="002154BA"/>
    <w:rsid w:val="00215D4D"/>
    <w:rsid w:val="00220B98"/>
    <w:rsid w:val="002220D8"/>
    <w:rsid w:val="002305BA"/>
    <w:rsid w:val="00233A04"/>
    <w:rsid w:val="00237887"/>
    <w:rsid w:val="00251F35"/>
    <w:rsid w:val="00256B06"/>
    <w:rsid w:val="00257374"/>
    <w:rsid w:val="00260651"/>
    <w:rsid w:val="002647D9"/>
    <w:rsid w:val="00272044"/>
    <w:rsid w:val="00272B86"/>
    <w:rsid w:val="0027340E"/>
    <w:rsid w:val="00276044"/>
    <w:rsid w:val="00283C37"/>
    <w:rsid w:val="00293DBA"/>
    <w:rsid w:val="002A1593"/>
    <w:rsid w:val="002A702C"/>
    <w:rsid w:val="002A7373"/>
    <w:rsid w:val="002B31AC"/>
    <w:rsid w:val="002C0C62"/>
    <w:rsid w:val="002C19D3"/>
    <w:rsid w:val="002C253E"/>
    <w:rsid w:val="002C4C20"/>
    <w:rsid w:val="002D1003"/>
    <w:rsid w:val="002D1EF5"/>
    <w:rsid w:val="002D58B6"/>
    <w:rsid w:val="002D676C"/>
    <w:rsid w:val="002E0A0A"/>
    <w:rsid w:val="002E372F"/>
    <w:rsid w:val="002E6E2A"/>
    <w:rsid w:val="002E7E36"/>
    <w:rsid w:val="002F16EE"/>
    <w:rsid w:val="002F5643"/>
    <w:rsid w:val="0030177C"/>
    <w:rsid w:val="00305F8E"/>
    <w:rsid w:val="0031352B"/>
    <w:rsid w:val="00320884"/>
    <w:rsid w:val="0032389C"/>
    <w:rsid w:val="00324197"/>
    <w:rsid w:val="0032436E"/>
    <w:rsid w:val="00331820"/>
    <w:rsid w:val="003361A6"/>
    <w:rsid w:val="00337152"/>
    <w:rsid w:val="0034014C"/>
    <w:rsid w:val="00347183"/>
    <w:rsid w:val="00350877"/>
    <w:rsid w:val="00350D3E"/>
    <w:rsid w:val="0035293C"/>
    <w:rsid w:val="00356CE9"/>
    <w:rsid w:val="003631FC"/>
    <w:rsid w:val="00364FA2"/>
    <w:rsid w:val="00365400"/>
    <w:rsid w:val="00370C88"/>
    <w:rsid w:val="00371F22"/>
    <w:rsid w:val="003805DF"/>
    <w:rsid w:val="00383118"/>
    <w:rsid w:val="003875E7"/>
    <w:rsid w:val="00390069"/>
    <w:rsid w:val="0039085A"/>
    <w:rsid w:val="003927C3"/>
    <w:rsid w:val="003971FA"/>
    <w:rsid w:val="003A0CFC"/>
    <w:rsid w:val="003A1DA3"/>
    <w:rsid w:val="003A30A4"/>
    <w:rsid w:val="003A3B57"/>
    <w:rsid w:val="003A7E21"/>
    <w:rsid w:val="003B2911"/>
    <w:rsid w:val="003B325B"/>
    <w:rsid w:val="003B598F"/>
    <w:rsid w:val="003C6F05"/>
    <w:rsid w:val="003D0DFC"/>
    <w:rsid w:val="003D300F"/>
    <w:rsid w:val="003D5E56"/>
    <w:rsid w:val="003E2DB9"/>
    <w:rsid w:val="003E4F1A"/>
    <w:rsid w:val="003F173F"/>
    <w:rsid w:val="003F268A"/>
    <w:rsid w:val="003F2C69"/>
    <w:rsid w:val="003F68C8"/>
    <w:rsid w:val="003F7173"/>
    <w:rsid w:val="00401FA3"/>
    <w:rsid w:val="00403145"/>
    <w:rsid w:val="00407A98"/>
    <w:rsid w:val="00407E2B"/>
    <w:rsid w:val="0041090F"/>
    <w:rsid w:val="00422F0E"/>
    <w:rsid w:val="00426856"/>
    <w:rsid w:val="00431C26"/>
    <w:rsid w:val="00440A93"/>
    <w:rsid w:val="00442CD2"/>
    <w:rsid w:val="00453BC8"/>
    <w:rsid w:val="00460800"/>
    <w:rsid w:val="004618FC"/>
    <w:rsid w:val="00463CB1"/>
    <w:rsid w:val="00466615"/>
    <w:rsid w:val="004672A6"/>
    <w:rsid w:val="004676FB"/>
    <w:rsid w:val="00472264"/>
    <w:rsid w:val="00472B58"/>
    <w:rsid w:val="00475693"/>
    <w:rsid w:val="004763B9"/>
    <w:rsid w:val="0047644D"/>
    <w:rsid w:val="0048155A"/>
    <w:rsid w:val="0048290E"/>
    <w:rsid w:val="0048334D"/>
    <w:rsid w:val="00486A92"/>
    <w:rsid w:val="004870DB"/>
    <w:rsid w:val="0049405B"/>
    <w:rsid w:val="004A140F"/>
    <w:rsid w:val="004A3EE1"/>
    <w:rsid w:val="004B5B79"/>
    <w:rsid w:val="004B5DEF"/>
    <w:rsid w:val="004C4FE4"/>
    <w:rsid w:val="004D05D6"/>
    <w:rsid w:val="004D0D2E"/>
    <w:rsid w:val="004D10B3"/>
    <w:rsid w:val="004D2FB6"/>
    <w:rsid w:val="004D5D5F"/>
    <w:rsid w:val="004E2FF9"/>
    <w:rsid w:val="004E42F8"/>
    <w:rsid w:val="004E527D"/>
    <w:rsid w:val="004F2B99"/>
    <w:rsid w:val="004F3B18"/>
    <w:rsid w:val="005023AE"/>
    <w:rsid w:val="00502B8B"/>
    <w:rsid w:val="00505077"/>
    <w:rsid w:val="00505524"/>
    <w:rsid w:val="00507BB8"/>
    <w:rsid w:val="00510776"/>
    <w:rsid w:val="005116A2"/>
    <w:rsid w:val="00511847"/>
    <w:rsid w:val="00511912"/>
    <w:rsid w:val="00511E74"/>
    <w:rsid w:val="005149CF"/>
    <w:rsid w:val="0051665A"/>
    <w:rsid w:val="00527ECD"/>
    <w:rsid w:val="0053358D"/>
    <w:rsid w:val="00536378"/>
    <w:rsid w:val="00540432"/>
    <w:rsid w:val="005428A5"/>
    <w:rsid w:val="00547459"/>
    <w:rsid w:val="00552638"/>
    <w:rsid w:val="0055404E"/>
    <w:rsid w:val="00556207"/>
    <w:rsid w:val="00560D9D"/>
    <w:rsid w:val="00562B47"/>
    <w:rsid w:val="005644F7"/>
    <w:rsid w:val="00565465"/>
    <w:rsid w:val="00566238"/>
    <w:rsid w:val="005670C8"/>
    <w:rsid w:val="00567C22"/>
    <w:rsid w:val="00572583"/>
    <w:rsid w:val="0059206E"/>
    <w:rsid w:val="00592E7C"/>
    <w:rsid w:val="005A2503"/>
    <w:rsid w:val="005B0508"/>
    <w:rsid w:val="005B0CEF"/>
    <w:rsid w:val="005C0C7E"/>
    <w:rsid w:val="005C0EDA"/>
    <w:rsid w:val="005C1077"/>
    <w:rsid w:val="005C7824"/>
    <w:rsid w:val="005E2D76"/>
    <w:rsid w:val="005E64F5"/>
    <w:rsid w:val="005E65E1"/>
    <w:rsid w:val="005F11DA"/>
    <w:rsid w:val="0060107F"/>
    <w:rsid w:val="00605959"/>
    <w:rsid w:val="0060708C"/>
    <w:rsid w:val="006120A2"/>
    <w:rsid w:val="00613E2E"/>
    <w:rsid w:val="00623D05"/>
    <w:rsid w:val="00626BEA"/>
    <w:rsid w:val="00632688"/>
    <w:rsid w:val="00634A2F"/>
    <w:rsid w:val="00634CDE"/>
    <w:rsid w:val="00642A4C"/>
    <w:rsid w:val="00646163"/>
    <w:rsid w:val="006479AC"/>
    <w:rsid w:val="00651BE3"/>
    <w:rsid w:val="0065259E"/>
    <w:rsid w:val="006530BD"/>
    <w:rsid w:val="006568AA"/>
    <w:rsid w:val="006569D8"/>
    <w:rsid w:val="006602B7"/>
    <w:rsid w:val="00677EEB"/>
    <w:rsid w:val="0068106D"/>
    <w:rsid w:val="006837CC"/>
    <w:rsid w:val="00683C66"/>
    <w:rsid w:val="0068472D"/>
    <w:rsid w:val="0069364B"/>
    <w:rsid w:val="006972C4"/>
    <w:rsid w:val="006A12A1"/>
    <w:rsid w:val="006A1339"/>
    <w:rsid w:val="006A15A1"/>
    <w:rsid w:val="006A6430"/>
    <w:rsid w:val="006C0D72"/>
    <w:rsid w:val="006C11C2"/>
    <w:rsid w:val="006C1E4E"/>
    <w:rsid w:val="006E7194"/>
    <w:rsid w:val="006E756E"/>
    <w:rsid w:val="006F4218"/>
    <w:rsid w:val="006F7ABA"/>
    <w:rsid w:val="00704AEC"/>
    <w:rsid w:val="00704F62"/>
    <w:rsid w:val="0070574D"/>
    <w:rsid w:val="007101AA"/>
    <w:rsid w:val="00721A6A"/>
    <w:rsid w:val="007263E8"/>
    <w:rsid w:val="007274CE"/>
    <w:rsid w:val="00730408"/>
    <w:rsid w:val="007314CC"/>
    <w:rsid w:val="0073212E"/>
    <w:rsid w:val="007327D9"/>
    <w:rsid w:val="007444A6"/>
    <w:rsid w:val="00756C99"/>
    <w:rsid w:val="007619F2"/>
    <w:rsid w:val="00763985"/>
    <w:rsid w:val="0076635C"/>
    <w:rsid w:val="0076650B"/>
    <w:rsid w:val="00775F6D"/>
    <w:rsid w:val="00776BAE"/>
    <w:rsid w:val="00777A88"/>
    <w:rsid w:val="00777C21"/>
    <w:rsid w:val="00782A7C"/>
    <w:rsid w:val="00783B17"/>
    <w:rsid w:val="00783F56"/>
    <w:rsid w:val="007865F8"/>
    <w:rsid w:val="00791EB0"/>
    <w:rsid w:val="007944A1"/>
    <w:rsid w:val="00795A9E"/>
    <w:rsid w:val="00795CE1"/>
    <w:rsid w:val="00796FF9"/>
    <w:rsid w:val="007A4CAF"/>
    <w:rsid w:val="007A7B26"/>
    <w:rsid w:val="007A7D79"/>
    <w:rsid w:val="007B4A64"/>
    <w:rsid w:val="007C7491"/>
    <w:rsid w:val="007D57E7"/>
    <w:rsid w:val="007D6EB5"/>
    <w:rsid w:val="007D73D3"/>
    <w:rsid w:val="007D7F36"/>
    <w:rsid w:val="007E0320"/>
    <w:rsid w:val="007E1D34"/>
    <w:rsid w:val="007E5BA5"/>
    <w:rsid w:val="007F27CB"/>
    <w:rsid w:val="007F2900"/>
    <w:rsid w:val="007F34FF"/>
    <w:rsid w:val="00801FB7"/>
    <w:rsid w:val="008074D9"/>
    <w:rsid w:val="00812046"/>
    <w:rsid w:val="0081241A"/>
    <w:rsid w:val="00812C99"/>
    <w:rsid w:val="0081708A"/>
    <w:rsid w:val="0082276F"/>
    <w:rsid w:val="0082416C"/>
    <w:rsid w:val="00824A21"/>
    <w:rsid w:val="0084097F"/>
    <w:rsid w:val="00843B62"/>
    <w:rsid w:val="00846D5F"/>
    <w:rsid w:val="00850C8B"/>
    <w:rsid w:val="00852BDF"/>
    <w:rsid w:val="00854B14"/>
    <w:rsid w:val="0085766D"/>
    <w:rsid w:val="00863424"/>
    <w:rsid w:val="00863F2F"/>
    <w:rsid w:val="008706A4"/>
    <w:rsid w:val="008725CB"/>
    <w:rsid w:val="008747B4"/>
    <w:rsid w:val="0087688E"/>
    <w:rsid w:val="00881557"/>
    <w:rsid w:val="00881784"/>
    <w:rsid w:val="00890C40"/>
    <w:rsid w:val="00892E15"/>
    <w:rsid w:val="00892EAF"/>
    <w:rsid w:val="008948A5"/>
    <w:rsid w:val="00895E20"/>
    <w:rsid w:val="008A4E70"/>
    <w:rsid w:val="008B060F"/>
    <w:rsid w:val="008B290C"/>
    <w:rsid w:val="008B3F07"/>
    <w:rsid w:val="008B6138"/>
    <w:rsid w:val="008C2099"/>
    <w:rsid w:val="008C5702"/>
    <w:rsid w:val="008C5A82"/>
    <w:rsid w:val="008C5E5D"/>
    <w:rsid w:val="008D3D80"/>
    <w:rsid w:val="008D6962"/>
    <w:rsid w:val="008D7ADE"/>
    <w:rsid w:val="008E2D50"/>
    <w:rsid w:val="008E37BB"/>
    <w:rsid w:val="008E4B5D"/>
    <w:rsid w:val="008E77C2"/>
    <w:rsid w:val="008F0C8A"/>
    <w:rsid w:val="008F2F9C"/>
    <w:rsid w:val="008F532D"/>
    <w:rsid w:val="008F53D9"/>
    <w:rsid w:val="008F6923"/>
    <w:rsid w:val="009035AD"/>
    <w:rsid w:val="00904647"/>
    <w:rsid w:val="00906048"/>
    <w:rsid w:val="00907B85"/>
    <w:rsid w:val="0091025A"/>
    <w:rsid w:val="0091311E"/>
    <w:rsid w:val="00913BDA"/>
    <w:rsid w:val="00916C17"/>
    <w:rsid w:val="00917AEA"/>
    <w:rsid w:val="00921364"/>
    <w:rsid w:val="00922152"/>
    <w:rsid w:val="0092266E"/>
    <w:rsid w:val="00922DFC"/>
    <w:rsid w:val="00924DEA"/>
    <w:rsid w:val="0094607C"/>
    <w:rsid w:val="00946889"/>
    <w:rsid w:val="00952C44"/>
    <w:rsid w:val="00953375"/>
    <w:rsid w:val="00957664"/>
    <w:rsid w:val="00962283"/>
    <w:rsid w:val="00962667"/>
    <w:rsid w:val="009655B2"/>
    <w:rsid w:val="009670CC"/>
    <w:rsid w:val="00970451"/>
    <w:rsid w:val="00975990"/>
    <w:rsid w:val="00975C9E"/>
    <w:rsid w:val="009772EF"/>
    <w:rsid w:val="00982C00"/>
    <w:rsid w:val="00985EEB"/>
    <w:rsid w:val="00987160"/>
    <w:rsid w:val="00987AA4"/>
    <w:rsid w:val="009930DD"/>
    <w:rsid w:val="00993BE0"/>
    <w:rsid w:val="00997418"/>
    <w:rsid w:val="009A489A"/>
    <w:rsid w:val="009A7E8D"/>
    <w:rsid w:val="009B11C1"/>
    <w:rsid w:val="009C162B"/>
    <w:rsid w:val="009C295F"/>
    <w:rsid w:val="009C2D89"/>
    <w:rsid w:val="009C398D"/>
    <w:rsid w:val="009C456D"/>
    <w:rsid w:val="009C5AE3"/>
    <w:rsid w:val="009D1C5D"/>
    <w:rsid w:val="009D4C70"/>
    <w:rsid w:val="009E2490"/>
    <w:rsid w:val="009E30AC"/>
    <w:rsid w:val="009E3EE0"/>
    <w:rsid w:val="009E6216"/>
    <w:rsid w:val="009E7AA5"/>
    <w:rsid w:val="009F0DB8"/>
    <w:rsid w:val="009F205A"/>
    <w:rsid w:val="009F33D7"/>
    <w:rsid w:val="00A00847"/>
    <w:rsid w:val="00A16467"/>
    <w:rsid w:val="00A16E3F"/>
    <w:rsid w:val="00A20591"/>
    <w:rsid w:val="00A24E57"/>
    <w:rsid w:val="00A25AC7"/>
    <w:rsid w:val="00A30833"/>
    <w:rsid w:val="00A36BB7"/>
    <w:rsid w:val="00A36F34"/>
    <w:rsid w:val="00A51007"/>
    <w:rsid w:val="00A52747"/>
    <w:rsid w:val="00A64959"/>
    <w:rsid w:val="00A7121C"/>
    <w:rsid w:val="00A71A2A"/>
    <w:rsid w:val="00A761CA"/>
    <w:rsid w:val="00A7647A"/>
    <w:rsid w:val="00A77755"/>
    <w:rsid w:val="00A857CC"/>
    <w:rsid w:val="00A9143C"/>
    <w:rsid w:val="00A96B3E"/>
    <w:rsid w:val="00AA0B06"/>
    <w:rsid w:val="00AA0DD6"/>
    <w:rsid w:val="00AA0ED2"/>
    <w:rsid w:val="00AA462D"/>
    <w:rsid w:val="00AA6732"/>
    <w:rsid w:val="00AA68C9"/>
    <w:rsid w:val="00AA7179"/>
    <w:rsid w:val="00AB2A3C"/>
    <w:rsid w:val="00AB614C"/>
    <w:rsid w:val="00AB6864"/>
    <w:rsid w:val="00AC2A7F"/>
    <w:rsid w:val="00AC3BD1"/>
    <w:rsid w:val="00AC4AF0"/>
    <w:rsid w:val="00AD74D6"/>
    <w:rsid w:val="00AE6CDF"/>
    <w:rsid w:val="00AF3D15"/>
    <w:rsid w:val="00AF5013"/>
    <w:rsid w:val="00B01F40"/>
    <w:rsid w:val="00B0219F"/>
    <w:rsid w:val="00B0552A"/>
    <w:rsid w:val="00B06546"/>
    <w:rsid w:val="00B074B9"/>
    <w:rsid w:val="00B10CC8"/>
    <w:rsid w:val="00B1295D"/>
    <w:rsid w:val="00B15464"/>
    <w:rsid w:val="00B20FFF"/>
    <w:rsid w:val="00B24382"/>
    <w:rsid w:val="00B2650E"/>
    <w:rsid w:val="00B33B12"/>
    <w:rsid w:val="00B36BC3"/>
    <w:rsid w:val="00B36CE1"/>
    <w:rsid w:val="00B42DA1"/>
    <w:rsid w:val="00B451A6"/>
    <w:rsid w:val="00B45891"/>
    <w:rsid w:val="00B522F1"/>
    <w:rsid w:val="00B539DB"/>
    <w:rsid w:val="00B57557"/>
    <w:rsid w:val="00B64834"/>
    <w:rsid w:val="00B650E0"/>
    <w:rsid w:val="00B67CB7"/>
    <w:rsid w:val="00B7251A"/>
    <w:rsid w:val="00B73BDE"/>
    <w:rsid w:val="00B74D03"/>
    <w:rsid w:val="00B820F4"/>
    <w:rsid w:val="00B82418"/>
    <w:rsid w:val="00B84E24"/>
    <w:rsid w:val="00B93816"/>
    <w:rsid w:val="00BA0114"/>
    <w:rsid w:val="00BA2F51"/>
    <w:rsid w:val="00BA38F0"/>
    <w:rsid w:val="00BB15EB"/>
    <w:rsid w:val="00BB1757"/>
    <w:rsid w:val="00BB2A84"/>
    <w:rsid w:val="00BB69A2"/>
    <w:rsid w:val="00BD144D"/>
    <w:rsid w:val="00BD1EF8"/>
    <w:rsid w:val="00BD25E5"/>
    <w:rsid w:val="00BD7A77"/>
    <w:rsid w:val="00BE2B58"/>
    <w:rsid w:val="00BE64C9"/>
    <w:rsid w:val="00BE708C"/>
    <w:rsid w:val="00BE72B0"/>
    <w:rsid w:val="00BF0D6A"/>
    <w:rsid w:val="00BF0EE2"/>
    <w:rsid w:val="00BF1B24"/>
    <w:rsid w:val="00BF6ECE"/>
    <w:rsid w:val="00C01C6E"/>
    <w:rsid w:val="00C10D6A"/>
    <w:rsid w:val="00C12921"/>
    <w:rsid w:val="00C12A46"/>
    <w:rsid w:val="00C20517"/>
    <w:rsid w:val="00C23E65"/>
    <w:rsid w:val="00C328C4"/>
    <w:rsid w:val="00C329A0"/>
    <w:rsid w:val="00C37FA0"/>
    <w:rsid w:val="00C4071A"/>
    <w:rsid w:val="00C439BD"/>
    <w:rsid w:val="00C456F2"/>
    <w:rsid w:val="00C5463F"/>
    <w:rsid w:val="00C5464C"/>
    <w:rsid w:val="00C56047"/>
    <w:rsid w:val="00C565C6"/>
    <w:rsid w:val="00C56EBD"/>
    <w:rsid w:val="00C61A7E"/>
    <w:rsid w:val="00C64338"/>
    <w:rsid w:val="00C71361"/>
    <w:rsid w:val="00C776C9"/>
    <w:rsid w:val="00C77EF2"/>
    <w:rsid w:val="00C80DCD"/>
    <w:rsid w:val="00C84D43"/>
    <w:rsid w:val="00C850F4"/>
    <w:rsid w:val="00C86C20"/>
    <w:rsid w:val="00C9214C"/>
    <w:rsid w:val="00C94732"/>
    <w:rsid w:val="00C972A9"/>
    <w:rsid w:val="00CA09D9"/>
    <w:rsid w:val="00CA6BF1"/>
    <w:rsid w:val="00CB0A85"/>
    <w:rsid w:val="00CB0EB3"/>
    <w:rsid w:val="00CC0F0C"/>
    <w:rsid w:val="00CC24CC"/>
    <w:rsid w:val="00CC4664"/>
    <w:rsid w:val="00CC791E"/>
    <w:rsid w:val="00CD21C1"/>
    <w:rsid w:val="00CD39CE"/>
    <w:rsid w:val="00CD4AED"/>
    <w:rsid w:val="00CD6864"/>
    <w:rsid w:val="00CE2E59"/>
    <w:rsid w:val="00CE6978"/>
    <w:rsid w:val="00CF26F4"/>
    <w:rsid w:val="00CF6460"/>
    <w:rsid w:val="00D056FE"/>
    <w:rsid w:val="00D14B11"/>
    <w:rsid w:val="00D256B2"/>
    <w:rsid w:val="00D433B4"/>
    <w:rsid w:val="00D51907"/>
    <w:rsid w:val="00D54DE7"/>
    <w:rsid w:val="00D56845"/>
    <w:rsid w:val="00D616AE"/>
    <w:rsid w:val="00D624E8"/>
    <w:rsid w:val="00D634C1"/>
    <w:rsid w:val="00D63918"/>
    <w:rsid w:val="00D6509A"/>
    <w:rsid w:val="00D67406"/>
    <w:rsid w:val="00D70D45"/>
    <w:rsid w:val="00D732FB"/>
    <w:rsid w:val="00D743BA"/>
    <w:rsid w:val="00D75417"/>
    <w:rsid w:val="00D75B0D"/>
    <w:rsid w:val="00D77701"/>
    <w:rsid w:val="00D8274B"/>
    <w:rsid w:val="00D85891"/>
    <w:rsid w:val="00D91535"/>
    <w:rsid w:val="00D967EF"/>
    <w:rsid w:val="00DA33A3"/>
    <w:rsid w:val="00DA67C1"/>
    <w:rsid w:val="00DB42D4"/>
    <w:rsid w:val="00DC5E82"/>
    <w:rsid w:val="00DD61E6"/>
    <w:rsid w:val="00DD653E"/>
    <w:rsid w:val="00DE0271"/>
    <w:rsid w:val="00DE2194"/>
    <w:rsid w:val="00DE2E0B"/>
    <w:rsid w:val="00DE5DBD"/>
    <w:rsid w:val="00DE6387"/>
    <w:rsid w:val="00E0427F"/>
    <w:rsid w:val="00E054B1"/>
    <w:rsid w:val="00E06004"/>
    <w:rsid w:val="00E064EB"/>
    <w:rsid w:val="00E068F2"/>
    <w:rsid w:val="00E07F5A"/>
    <w:rsid w:val="00E22988"/>
    <w:rsid w:val="00E26E8F"/>
    <w:rsid w:val="00E42828"/>
    <w:rsid w:val="00E437DC"/>
    <w:rsid w:val="00E5324B"/>
    <w:rsid w:val="00E53D2A"/>
    <w:rsid w:val="00E55CC1"/>
    <w:rsid w:val="00E57E51"/>
    <w:rsid w:val="00E61421"/>
    <w:rsid w:val="00E7506E"/>
    <w:rsid w:val="00E752C7"/>
    <w:rsid w:val="00E82434"/>
    <w:rsid w:val="00E8354F"/>
    <w:rsid w:val="00E861B0"/>
    <w:rsid w:val="00E86658"/>
    <w:rsid w:val="00E933EC"/>
    <w:rsid w:val="00E9453E"/>
    <w:rsid w:val="00E94809"/>
    <w:rsid w:val="00E94E89"/>
    <w:rsid w:val="00EA22F2"/>
    <w:rsid w:val="00EA25C5"/>
    <w:rsid w:val="00EA375E"/>
    <w:rsid w:val="00EA44AB"/>
    <w:rsid w:val="00EA77E2"/>
    <w:rsid w:val="00EB438F"/>
    <w:rsid w:val="00EC40AC"/>
    <w:rsid w:val="00EC783B"/>
    <w:rsid w:val="00ED6558"/>
    <w:rsid w:val="00ED685A"/>
    <w:rsid w:val="00ED7658"/>
    <w:rsid w:val="00EE0860"/>
    <w:rsid w:val="00EE3BF4"/>
    <w:rsid w:val="00EE3CB1"/>
    <w:rsid w:val="00EE4E09"/>
    <w:rsid w:val="00EE6DAF"/>
    <w:rsid w:val="00EF0A97"/>
    <w:rsid w:val="00EF46C5"/>
    <w:rsid w:val="00EF6A09"/>
    <w:rsid w:val="00F1086D"/>
    <w:rsid w:val="00F13C75"/>
    <w:rsid w:val="00F15CEA"/>
    <w:rsid w:val="00F15D70"/>
    <w:rsid w:val="00F220E5"/>
    <w:rsid w:val="00F22FED"/>
    <w:rsid w:val="00F2752C"/>
    <w:rsid w:val="00F27A58"/>
    <w:rsid w:val="00F27AC7"/>
    <w:rsid w:val="00F31078"/>
    <w:rsid w:val="00F31E0D"/>
    <w:rsid w:val="00F359D1"/>
    <w:rsid w:val="00F35BDA"/>
    <w:rsid w:val="00F36A03"/>
    <w:rsid w:val="00F43CB5"/>
    <w:rsid w:val="00F459A4"/>
    <w:rsid w:val="00F4702C"/>
    <w:rsid w:val="00F47699"/>
    <w:rsid w:val="00F50966"/>
    <w:rsid w:val="00F51AC8"/>
    <w:rsid w:val="00F524EF"/>
    <w:rsid w:val="00F52895"/>
    <w:rsid w:val="00F644A5"/>
    <w:rsid w:val="00F820CB"/>
    <w:rsid w:val="00F84AEF"/>
    <w:rsid w:val="00F86785"/>
    <w:rsid w:val="00F86E19"/>
    <w:rsid w:val="00F90C86"/>
    <w:rsid w:val="00F96C7B"/>
    <w:rsid w:val="00FA18BC"/>
    <w:rsid w:val="00FA62EC"/>
    <w:rsid w:val="00FA7AFB"/>
    <w:rsid w:val="00FB51EE"/>
    <w:rsid w:val="00FB5AE6"/>
    <w:rsid w:val="00FB79C9"/>
    <w:rsid w:val="00FC2FEE"/>
    <w:rsid w:val="00FC413E"/>
    <w:rsid w:val="00FC6807"/>
    <w:rsid w:val="00FD0EA9"/>
    <w:rsid w:val="00FD46F0"/>
    <w:rsid w:val="00FD4D13"/>
    <w:rsid w:val="00FE16C4"/>
    <w:rsid w:val="00FE2D6B"/>
    <w:rsid w:val="00FF017F"/>
    <w:rsid w:val="00FF04CF"/>
    <w:rsid w:val="00FF138C"/>
    <w:rsid w:val="00FF44B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FC06"/>
  <w15:chartTrackingRefBased/>
  <w15:docId w15:val="{E02F8DA1-E9FC-4FF6-AF75-72A0218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64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4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64FA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4FA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4FA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4FA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4FA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4FA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4FA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64FA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64FA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64FA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64FA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64FA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64FA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64FA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64FA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64FA2"/>
    <w:rPr>
      <w:rFonts w:eastAsiaTheme="majorEastAsia" w:cstheme="majorBidi"/>
      <w:color w:val="272727" w:themeColor="text1" w:themeTint="D8"/>
    </w:rPr>
  </w:style>
  <w:style w:type="paragraph" w:styleId="Titel">
    <w:name w:val="Title"/>
    <w:basedOn w:val="Normal"/>
    <w:next w:val="Normal"/>
    <w:link w:val="TitelTegn"/>
    <w:uiPriority w:val="10"/>
    <w:qFormat/>
    <w:rsid w:val="00364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4FA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64FA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64FA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4FA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64FA2"/>
    <w:rPr>
      <w:i/>
      <w:iCs/>
      <w:color w:val="404040" w:themeColor="text1" w:themeTint="BF"/>
    </w:rPr>
  </w:style>
  <w:style w:type="paragraph" w:styleId="Listeafsnit">
    <w:name w:val="List Paragraph"/>
    <w:basedOn w:val="Normal"/>
    <w:uiPriority w:val="34"/>
    <w:qFormat/>
    <w:rsid w:val="00364FA2"/>
    <w:pPr>
      <w:ind w:left="720"/>
      <w:contextualSpacing/>
    </w:pPr>
  </w:style>
  <w:style w:type="character" w:styleId="Kraftigfremhvning">
    <w:name w:val="Intense Emphasis"/>
    <w:basedOn w:val="Standardskrifttypeiafsnit"/>
    <w:uiPriority w:val="21"/>
    <w:qFormat/>
    <w:rsid w:val="00364FA2"/>
    <w:rPr>
      <w:i/>
      <w:iCs/>
      <w:color w:val="0F4761" w:themeColor="accent1" w:themeShade="BF"/>
    </w:rPr>
  </w:style>
  <w:style w:type="paragraph" w:styleId="Strktcitat">
    <w:name w:val="Intense Quote"/>
    <w:basedOn w:val="Normal"/>
    <w:next w:val="Normal"/>
    <w:link w:val="StrktcitatTegn"/>
    <w:uiPriority w:val="30"/>
    <w:qFormat/>
    <w:rsid w:val="00364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64FA2"/>
    <w:rPr>
      <w:i/>
      <w:iCs/>
      <w:color w:val="0F4761" w:themeColor="accent1" w:themeShade="BF"/>
    </w:rPr>
  </w:style>
  <w:style w:type="character" w:styleId="Kraftighenvisning">
    <w:name w:val="Intense Reference"/>
    <w:basedOn w:val="Standardskrifttypeiafsnit"/>
    <w:uiPriority w:val="32"/>
    <w:qFormat/>
    <w:rsid w:val="00364FA2"/>
    <w:rPr>
      <w:b/>
      <w:bCs/>
      <w:smallCaps/>
      <w:color w:val="0F4761" w:themeColor="accent1" w:themeShade="BF"/>
      <w:spacing w:val="5"/>
    </w:rPr>
  </w:style>
  <w:style w:type="paragraph" w:styleId="Sidehoved">
    <w:name w:val="header"/>
    <w:basedOn w:val="Normal"/>
    <w:link w:val="SidehovedTegn"/>
    <w:semiHidden/>
    <w:rsid w:val="00605959"/>
    <w:pPr>
      <w:tabs>
        <w:tab w:val="left" w:pos="1276"/>
        <w:tab w:val="center" w:pos="4819"/>
        <w:tab w:val="right" w:pos="9638"/>
      </w:tabs>
      <w:spacing w:after="0" w:line="320" w:lineRule="atLeast"/>
      <w:jc w:val="both"/>
    </w:pPr>
    <w:rPr>
      <w:rFonts w:ascii="Times New Roman" w:eastAsia="Times New Roman" w:hAnsi="Times New Roman" w:cs="Times New Roman"/>
      <w:kern w:val="0"/>
      <w:sz w:val="24"/>
      <w:szCs w:val="20"/>
      <w:lang w:eastAsia="da-DK"/>
      <w14:ligatures w14:val="none"/>
    </w:rPr>
  </w:style>
  <w:style w:type="character" w:customStyle="1" w:styleId="SidehovedTegn">
    <w:name w:val="Sidehoved Tegn"/>
    <w:basedOn w:val="Standardskrifttypeiafsnit"/>
    <w:link w:val="Sidehoved"/>
    <w:semiHidden/>
    <w:rsid w:val="00605959"/>
    <w:rPr>
      <w:rFonts w:ascii="Times New Roman" w:eastAsia="Times New Roman" w:hAnsi="Times New Roman" w:cs="Times New Roman"/>
      <w:kern w:val="0"/>
      <w:sz w:val="24"/>
      <w:szCs w:val="20"/>
      <w:lang w:eastAsia="da-DK"/>
      <w14:ligatures w14:val="none"/>
    </w:rPr>
  </w:style>
  <w:style w:type="paragraph" w:customStyle="1" w:styleId="Boksoverskrift1">
    <w:name w:val="Boks overskrift 1"/>
    <w:basedOn w:val="Normal"/>
    <w:link w:val="Boksoverskrift1Tegn"/>
    <w:qFormat/>
    <w:rsid w:val="00BD144D"/>
    <w:pPr>
      <w:spacing w:after="0" w:line="360" w:lineRule="auto"/>
    </w:pPr>
    <w:rPr>
      <w:rFonts w:ascii="Segoe UI Black" w:hAnsi="Segoe UI Black"/>
      <w:kern w:val="0"/>
      <w:sz w:val="19"/>
      <w:szCs w:val="24"/>
      <w14:ligatures w14:val="none"/>
    </w:rPr>
  </w:style>
  <w:style w:type="character" w:customStyle="1" w:styleId="Boksoverskrift1Tegn">
    <w:name w:val="Boks overskrift 1 Tegn"/>
    <w:basedOn w:val="Standardskrifttypeiafsnit"/>
    <w:link w:val="Boksoverskrift1"/>
    <w:rsid w:val="00BD144D"/>
    <w:rPr>
      <w:rFonts w:ascii="Segoe UI Black" w:hAnsi="Segoe UI Black"/>
      <w:kern w:val="0"/>
      <w:sz w:val="19"/>
      <w:szCs w:val="24"/>
      <w14:ligatures w14:val="none"/>
    </w:rPr>
  </w:style>
  <w:style w:type="paragraph" w:customStyle="1" w:styleId="11Brdtekst">
    <w:name w:val="1.1 Brødtekst"/>
    <w:basedOn w:val="Normal"/>
    <w:link w:val="11BrdtekstTegn"/>
    <w:qFormat/>
    <w:rsid w:val="00F2752C"/>
    <w:pPr>
      <w:spacing w:after="0" w:line="240" w:lineRule="auto"/>
    </w:pPr>
    <w:rPr>
      <w:rFonts w:ascii="Segoe UI" w:hAnsi="Segoe UI"/>
      <w:kern w:val="0"/>
      <w:sz w:val="18"/>
      <w:szCs w:val="24"/>
      <w14:ligatures w14:val="none"/>
    </w:rPr>
  </w:style>
  <w:style w:type="character" w:customStyle="1" w:styleId="11BrdtekstTegn">
    <w:name w:val="1.1 Brødtekst Tegn"/>
    <w:basedOn w:val="Standardskrifttypeiafsnit"/>
    <w:link w:val="11Brdtekst"/>
    <w:rsid w:val="00F2752C"/>
    <w:rPr>
      <w:rFonts w:ascii="Segoe UI" w:hAnsi="Segoe UI"/>
      <w:kern w:val="0"/>
      <w:sz w:val="18"/>
      <w:szCs w:val="24"/>
      <w14:ligatures w14:val="none"/>
    </w:rPr>
  </w:style>
  <w:style w:type="paragraph" w:styleId="Sidefod">
    <w:name w:val="footer"/>
    <w:basedOn w:val="Normal"/>
    <w:link w:val="SidefodTegn"/>
    <w:uiPriority w:val="99"/>
    <w:unhideWhenUsed/>
    <w:rsid w:val="00A712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7121C"/>
  </w:style>
  <w:style w:type="character" w:styleId="Kommentarhenvisning">
    <w:name w:val="annotation reference"/>
    <w:basedOn w:val="Standardskrifttypeiafsnit"/>
    <w:uiPriority w:val="99"/>
    <w:semiHidden/>
    <w:unhideWhenUsed/>
    <w:rsid w:val="008D6962"/>
    <w:rPr>
      <w:sz w:val="16"/>
      <w:szCs w:val="16"/>
    </w:rPr>
  </w:style>
  <w:style w:type="paragraph" w:styleId="Kommentartekst">
    <w:name w:val="annotation text"/>
    <w:basedOn w:val="Normal"/>
    <w:link w:val="KommentartekstTegn"/>
    <w:uiPriority w:val="99"/>
    <w:unhideWhenUsed/>
    <w:rsid w:val="008D6962"/>
    <w:pPr>
      <w:spacing w:line="240" w:lineRule="auto"/>
    </w:pPr>
    <w:rPr>
      <w:sz w:val="20"/>
      <w:szCs w:val="20"/>
    </w:rPr>
  </w:style>
  <w:style w:type="character" w:customStyle="1" w:styleId="KommentartekstTegn">
    <w:name w:val="Kommentartekst Tegn"/>
    <w:basedOn w:val="Standardskrifttypeiafsnit"/>
    <w:link w:val="Kommentartekst"/>
    <w:uiPriority w:val="99"/>
    <w:rsid w:val="008D6962"/>
    <w:rPr>
      <w:sz w:val="20"/>
      <w:szCs w:val="20"/>
    </w:rPr>
  </w:style>
  <w:style w:type="paragraph" w:styleId="Kommentaremne">
    <w:name w:val="annotation subject"/>
    <w:basedOn w:val="Kommentartekst"/>
    <w:next w:val="Kommentartekst"/>
    <w:link w:val="KommentaremneTegn"/>
    <w:uiPriority w:val="99"/>
    <w:semiHidden/>
    <w:unhideWhenUsed/>
    <w:rsid w:val="008D6962"/>
    <w:rPr>
      <w:b/>
      <w:bCs/>
    </w:rPr>
  </w:style>
  <w:style w:type="character" w:customStyle="1" w:styleId="KommentaremneTegn">
    <w:name w:val="Kommentaremne Tegn"/>
    <w:basedOn w:val="KommentartekstTegn"/>
    <w:link w:val="Kommentaremne"/>
    <w:uiPriority w:val="99"/>
    <w:semiHidden/>
    <w:rsid w:val="008D6962"/>
    <w:rPr>
      <w:b/>
      <w:bCs/>
      <w:sz w:val="20"/>
      <w:szCs w:val="20"/>
    </w:rPr>
  </w:style>
  <w:style w:type="paragraph" w:styleId="Korrektur">
    <w:name w:val="Revision"/>
    <w:hidden/>
    <w:uiPriority w:val="99"/>
    <w:semiHidden/>
    <w:rsid w:val="00463CB1"/>
    <w:pPr>
      <w:spacing w:after="0" w:line="240" w:lineRule="auto"/>
    </w:pPr>
  </w:style>
  <w:style w:type="character" w:styleId="Hyperlink">
    <w:name w:val="Hyperlink"/>
    <w:basedOn w:val="Standardskrifttypeiafsnit"/>
    <w:uiPriority w:val="99"/>
    <w:semiHidden/>
    <w:unhideWhenUsed/>
    <w:rsid w:val="00EF46C5"/>
    <w:rPr>
      <w:color w:val="467886"/>
      <w:u w:val="single"/>
    </w:rPr>
  </w:style>
  <w:style w:type="character" w:styleId="BesgtLink">
    <w:name w:val="FollowedHyperlink"/>
    <w:basedOn w:val="Standardskrifttypeiafsnit"/>
    <w:uiPriority w:val="99"/>
    <w:semiHidden/>
    <w:unhideWhenUsed/>
    <w:rsid w:val="00EF46C5"/>
    <w:rPr>
      <w:color w:val="96607D" w:themeColor="followedHyperlink"/>
      <w:u w:val="single"/>
    </w:rPr>
  </w:style>
  <w:style w:type="table" w:styleId="Tabel-Gitter">
    <w:name w:val="Table Grid"/>
    <w:basedOn w:val="Tabel-Normal"/>
    <w:uiPriority w:val="39"/>
    <w:rsid w:val="0070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5B0D"/>
    <w:rPr>
      <w:rFonts w:ascii="Times New Roman" w:hAnsi="Times New Roman" w:cs="Times New Roman"/>
      <w:sz w:val="24"/>
      <w:szCs w:val="24"/>
    </w:rPr>
  </w:style>
  <w:style w:type="paragraph" w:styleId="Fodnotetekst">
    <w:name w:val="footnote text"/>
    <w:basedOn w:val="Normal"/>
    <w:link w:val="FodnotetekstTegn"/>
    <w:uiPriority w:val="99"/>
    <w:semiHidden/>
    <w:unhideWhenUsed/>
    <w:rsid w:val="0033182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31820"/>
    <w:rPr>
      <w:sz w:val="20"/>
      <w:szCs w:val="20"/>
    </w:rPr>
  </w:style>
  <w:style w:type="character" w:styleId="Fodnotehenvisning">
    <w:name w:val="footnote reference"/>
    <w:basedOn w:val="Standardskrifttypeiafsnit"/>
    <w:uiPriority w:val="99"/>
    <w:semiHidden/>
    <w:unhideWhenUsed/>
    <w:rsid w:val="00331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841">
      <w:bodyDiv w:val="1"/>
      <w:marLeft w:val="0"/>
      <w:marRight w:val="0"/>
      <w:marTop w:val="0"/>
      <w:marBottom w:val="0"/>
      <w:divBdr>
        <w:top w:val="none" w:sz="0" w:space="0" w:color="auto"/>
        <w:left w:val="none" w:sz="0" w:space="0" w:color="auto"/>
        <w:bottom w:val="none" w:sz="0" w:space="0" w:color="auto"/>
        <w:right w:val="none" w:sz="0" w:space="0" w:color="auto"/>
      </w:divBdr>
    </w:div>
    <w:div w:id="307369397">
      <w:bodyDiv w:val="1"/>
      <w:marLeft w:val="0"/>
      <w:marRight w:val="0"/>
      <w:marTop w:val="0"/>
      <w:marBottom w:val="0"/>
      <w:divBdr>
        <w:top w:val="none" w:sz="0" w:space="0" w:color="auto"/>
        <w:left w:val="none" w:sz="0" w:space="0" w:color="auto"/>
        <w:bottom w:val="none" w:sz="0" w:space="0" w:color="auto"/>
        <w:right w:val="none" w:sz="0" w:space="0" w:color="auto"/>
      </w:divBdr>
    </w:div>
    <w:div w:id="341856562">
      <w:bodyDiv w:val="1"/>
      <w:marLeft w:val="0"/>
      <w:marRight w:val="0"/>
      <w:marTop w:val="0"/>
      <w:marBottom w:val="0"/>
      <w:divBdr>
        <w:top w:val="none" w:sz="0" w:space="0" w:color="auto"/>
        <w:left w:val="none" w:sz="0" w:space="0" w:color="auto"/>
        <w:bottom w:val="none" w:sz="0" w:space="0" w:color="auto"/>
        <w:right w:val="none" w:sz="0" w:space="0" w:color="auto"/>
      </w:divBdr>
    </w:div>
    <w:div w:id="391347861">
      <w:bodyDiv w:val="1"/>
      <w:marLeft w:val="0"/>
      <w:marRight w:val="0"/>
      <w:marTop w:val="0"/>
      <w:marBottom w:val="0"/>
      <w:divBdr>
        <w:top w:val="none" w:sz="0" w:space="0" w:color="auto"/>
        <w:left w:val="none" w:sz="0" w:space="0" w:color="auto"/>
        <w:bottom w:val="none" w:sz="0" w:space="0" w:color="auto"/>
        <w:right w:val="none" w:sz="0" w:space="0" w:color="auto"/>
      </w:divBdr>
    </w:div>
    <w:div w:id="549272628">
      <w:bodyDiv w:val="1"/>
      <w:marLeft w:val="0"/>
      <w:marRight w:val="0"/>
      <w:marTop w:val="0"/>
      <w:marBottom w:val="0"/>
      <w:divBdr>
        <w:top w:val="none" w:sz="0" w:space="0" w:color="auto"/>
        <w:left w:val="none" w:sz="0" w:space="0" w:color="auto"/>
        <w:bottom w:val="none" w:sz="0" w:space="0" w:color="auto"/>
        <w:right w:val="none" w:sz="0" w:space="0" w:color="auto"/>
      </w:divBdr>
    </w:div>
    <w:div w:id="567495156">
      <w:bodyDiv w:val="1"/>
      <w:marLeft w:val="0"/>
      <w:marRight w:val="0"/>
      <w:marTop w:val="0"/>
      <w:marBottom w:val="0"/>
      <w:divBdr>
        <w:top w:val="none" w:sz="0" w:space="0" w:color="auto"/>
        <w:left w:val="none" w:sz="0" w:space="0" w:color="auto"/>
        <w:bottom w:val="none" w:sz="0" w:space="0" w:color="auto"/>
        <w:right w:val="none" w:sz="0" w:space="0" w:color="auto"/>
      </w:divBdr>
    </w:div>
    <w:div w:id="646015942">
      <w:bodyDiv w:val="1"/>
      <w:marLeft w:val="0"/>
      <w:marRight w:val="0"/>
      <w:marTop w:val="0"/>
      <w:marBottom w:val="0"/>
      <w:divBdr>
        <w:top w:val="none" w:sz="0" w:space="0" w:color="auto"/>
        <w:left w:val="none" w:sz="0" w:space="0" w:color="auto"/>
        <w:bottom w:val="none" w:sz="0" w:space="0" w:color="auto"/>
        <w:right w:val="none" w:sz="0" w:space="0" w:color="auto"/>
      </w:divBdr>
    </w:div>
    <w:div w:id="687216432">
      <w:bodyDiv w:val="1"/>
      <w:marLeft w:val="0"/>
      <w:marRight w:val="0"/>
      <w:marTop w:val="0"/>
      <w:marBottom w:val="0"/>
      <w:divBdr>
        <w:top w:val="none" w:sz="0" w:space="0" w:color="auto"/>
        <w:left w:val="none" w:sz="0" w:space="0" w:color="auto"/>
        <w:bottom w:val="none" w:sz="0" w:space="0" w:color="auto"/>
        <w:right w:val="none" w:sz="0" w:space="0" w:color="auto"/>
      </w:divBdr>
    </w:div>
    <w:div w:id="725689840">
      <w:bodyDiv w:val="1"/>
      <w:marLeft w:val="0"/>
      <w:marRight w:val="0"/>
      <w:marTop w:val="0"/>
      <w:marBottom w:val="0"/>
      <w:divBdr>
        <w:top w:val="none" w:sz="0" w:space="0" w:color="auto"/>
        <w:left w:val="none" w:sz="0" w:space="0" w:color="auto"/>
        <w:bottom w:val="none" w:sz="0" w:space="0" w:color="auto"/>
        <w:right w:val="none" w:sz="0" w:space="0" w:color="auto"/>
      </w:divBdr>
    </w:div>
    <w:div w:id="734353995">
      <w:bodyDiv w:val="1"/>
      <w:marLeft w:val="0"/>
      <w:marRight w:val="0"/>
      <w:marTop w:val="0"/>
      <w:marBottom w:val="0"/>
      <w:divBdr>
        <w:top w:val="none" w:sz="0" w:space="0" w:color="auto"/>
        <w:left w:val="none" w:sz="0" w:space="0" w:color="auto"/>
        <w:bottom w:val="none" w:sz="0" w:space="0" w:color="auto"/>
        <w:right w:val="none" w:sz="0" w:space="0" w:color="auto"/>
      </w:divBdr>
    </w:div>
    <w:div w:id="768234857">
      <w:bodyDiv w:val="1"/>
      <w:marLeft w:val="0"/>
      <w:marRight w:val="0"/>
      <w:marTop w:val="0"/>
      <w:marBottom w:val="0"/>
      <w:divBdr>
        <w:top w:val="none" w:sz="0" w:space="0" w:color="auto"/>
        <w:left w:val="none" w:sz="0" w:space="0" w:color="auto"/>
        <w:bottom w:val="none" w:sz="0" w:space="0" w:color="auto"/>
        <w:right w:val="none" w:sz="0" w:space="0" w:color="auto"/>
      </w:divBdr>
    </w:div>
    <w:div w:id="779684668">
      <w:bodyDiv w:val="1"/>
      <w:marLeft w:val="0"/>
      <w:marRight w:val="0"/>
      <w:marTop w:val="0"/>
      <w:marBottom w:val="0"/>
      <w:divBdr>
        <w:top w:val="none" w:sz="0" w:space="0" w:color="auto"/>
        <w:left w:val="none" w:sz="0" w:space="0" w:color="auto"/>
        <w:bottom w:val="none" w:sz="0" w:space="0" w:color="auto"/>
        <w:right w:val="none" w:sz="0" w:space="0" w:color="auto"/>
      </w:divBdr>
    </w:div>
    <w:div w:id="1097023639">
      <w:bodyDiv w:val="1"/>
      <w:marLeft w:val="0"/>
      <w:marRight w:val="0"/>
      <w:marTop w:val="0"/>
      <w:marBottom w:val="0"/>
      <w:divBdr>
        <w:top w:val="none" w:sz="0" w:space="0" w:color="auto"/>
        <w:left w:val="none" w:sz="0" w:space="0" w:color="auto"/>
        <w:bottom w:val="none" w:sz="0" w:space="0" w:color="auto"/>
        <w:right w:val="none" w:sz="0" w:space="0" w:color="auto"/>
      </w:divBdr>
    </w:div>
    <w:div w:id="1181964836">
      <w:bodyDiv w:val="1"/>
      <w:marLeft w:val="0"/>
      <w:marRight w:val="0"/>
      <w:marTop w:val="0"/>
      <w:marBottom w:val="0"/>
      <w:divBdr>
        <w:top w:val="none" w:sz="0" w:space="0" w:color="auto"/>
        <w:left w:val="none" w:sz="0" w:space="0" w:color="auto"/>
        <w:bottom w:val="none" w:sz="0" w:space="0" w:color="auto"/>
        <w:right w:val="none" w:sz="0" w:space="0" w:color="auto"/>
      </w:divBdr>
    </w:div>
    <w:div w:id="1361585999">
      <w:bodyDiv w:val="1"/>
      <w:marLeft w:val="0"/>
      <w:marRight w:val="0"/>
      <w:marTop w:val="0"/>
      <w:marBottom w:val="0"/>
      <w:divBdr>
        <w:top w:val="none" w:sz="0" w:space="0" w:color="auto"/>
        <w:left w:val="none" w:sz="0" w:space="0" w:color="auto"/>
        <w:bottom w:val="none" w:sz="0" w:space="0" w:color="auto"/>
        <w:right w:val="none" w:sz="0" w:space="0" w:color="auto"/>
      </w:divBdr>
    </w:div>
    <w:div w:id="1511991937">
      <w:bodyDiv w:val="1"/>
      <w:marLeft w:val="0"/>
      <w:marRight w:val="0"/>
      <w:marTop w:val="0"/>
      <w:marBottom w:val="0"/>
      <w:divBdr>
        <w:top w:val="none" w:sz="0" w:space="0" w:color="auto"/>
        <w:left w:val="none" w:sz="0" w:space="0" w:color="auto"/>
        <w:bottom w:val="none" w:sz="0" w:space="0" w:color="auto"/>
        <w:right w:val="none" w:sz="0" w:space="0" w:color="auto"/>
      </w:divBdr>
    </w:div>
    <w:div w:id="1587887025">
      <w:bodyDiv w:val="1"/>
      <w:marLeft w:val="0"/>
      <w:marRight w:val="0"/>
      <w:marTop w:val="0"/>
      <w:marBottom w:val="0"/>
      <w:divBdr>
        <w:top w:val="none" w:sz="0" w:space="0" w:color="auto"/>
        <w:left w:val="none" w:sz="0" w:space="0" w:color="auto"/>
        <w:bottom w:val="none" w:sz="0" w:space="0" w:color="auto"/>
        <w:right w:val="none" w:sz="0" w:space="0" w:color="auto"/>
      </w:divBdr>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
    <w:div w:id="1683622754">
      <w:bodyDiv w:val="1"/>
      <w:marLeft w:val="0"/>
      <w:marRight w:val="0"/>
      <w:marTop w:val="0"/>
      <w:marBottom w:val="0"/>
      <w:divBdr>
        <w:top w:val="none" w:sz="0" w:space="0" w:color="auto"/>
        <w:left w:val="none" w:sz="0" w:space="0" w:color="auto"/>
        <w:bottom w:val="none" w:sz="0" w:space="0" w:color="auto"/>
        <w:right w:val="none" w:sz="0" w:space="0" w:color="auto"/>
      </w:divBdr>
    </w:div>
    <w:div w:id="1716849600">
      <w:bodyDiv w:val="1"/>
      <w:marLeft w:val="0"/>
      <w:marRight w:val="0"/>
      <w:marTop w:val="0"/>
      <w:marBottom w:val="0"/>
      <w:divBdr>
        <w:top w:val="none" w:sz="0" w:space="0" w:color="auto"/>
        <w:left w:val="none" w:sz="0" w:space="0" w:color="auto"/>
        <w:bottom w:val="none" w:sz="0" w:space="0" w:color="auto"/>
        <w:right w:val="none" w:sz="0" w:space="0" w:color="auto"/>
      </w:divBdr>
    </w:div>
    <w:div w:id="1910143565">
      <w:bodyDiv w:val="1"/>
      <w:marLeft w:val="0"/>
      <w:marRight w:val="0"/>
      <w:marTop w:val="0"/>
      <w:marBottom w:val="0"/>
      <w:divBdr>
        <w:top w:val="none" w:sz="0" w:space="0" w:color="auto"/>
        <w:left w:val="none" w:sz="0" w:space="0" w:color="auto"/>
        <w:bottom w:val="none" w:sz="0" w:space="0" w:color="auto"/>
        <w:right w:val="none" w:sz="0" w:space="0" w:color="auto"/>
      </w:divBdr>
    </w:div>
    <w:div w:id="1931237789">
      <w:bodyDiv w:val="1"/>
      <w:marLeft w:val="0"/>
      <w:marRight w:val="0"/>
      <w:marTop w:val="0"/>
      <w:marBottom w:val="0"/>
      <w:divBdr>
        <w:top w:val="none" w:sz="0" w:space="0" w:color="auto"/>
        <w:left w:val="none" w:sz="0" w:space="0" w:color="auto"/>
        <w:bottom w:val="none" w:sz="0" w:space="0" w:color="auto"/>
        <w:right w:val="none" w:sz="0" w:space="0" w:color="auto"/>
      </w:divBdr>
    </w:div>
    <w:div w:id="1938708554">
      <w:bodyDiv w:val="1"/>
      <w:marLeft w:val="0"/>
      <w:marRight w:val="0"/>
      <w:marTop w:val="0"/>
      <w:marBottom w:val="0"/>
      <w:divBdr>
        <w:top w:val="none" w:sz="0" w:space="0" w:color="auto"/>
        <w:left w:val="none" w:sz="0" w:space="0" w:color="auto"/>
        <w:bottom w:val="none" w:sz="0" w:space="0" w:color="auto"/>
        <w:right w:val="none" w:sz="0" w:space="0" w:color="auto"/>
      </w:divBdr>
    </w:div>
    <w:div w:id="1942761572">
      <w:bodyDiv w:val="1"/>
      <w:marLeft w:val="0"/>
      <w:marRight w:val="0"/>
      <w:marTop w:val="0"/>
      <w:marBottom w:val="0"/>
      <w:divBdr>
        <w:top w:val="none" w:sz="0" w:space="0" w:color="auto"/>
        <w:left w:val="none" w:sz="0" w:space="0" w:color="auto"/>
        <w:bottom w:val="none" w:sz="0" w:space="0" w:color="auto"/>
        <w:right w:val="none" w:sz="0" w:space="0" w:color="auto"/>
      </w:divBdr>
    </w:div>
    <w:div w:id="2048723660">
      <w:bodyDiv w:val="1"/>
      <w:marLeft w:val="0"/>
      <w:marRight w:val="0"/>
      <w:marTop w:val="0"/>
      <w:marBottom w:val="0"/>
      <w:divBdr>
        <w:top w:val="none" w:sz="0" w:space="0" w:color="auto"/>
        <w:left w:val="none" w:sz="0" w:space="0" w:color="auto"/>
        <w:bottom w:val="none" w:sz="0" w:space="0" w:color="auto"/>
        <w:right w:val="none" w:sz="0" w:space="0" w:color="auto"/>
      </w:divBdr>
    </w:div>
    <w:div w:id="2079983485">
      <w:bodyDiv w:val="1"/>
      <w:marLeft w:val="0"/>
      <w:marRight w:val="0"/>
      <w:marTop w:val="0"/>
      <w:marBottom w:val="0"/>
      <w:divBdr>
        <w:top w:val="none" w:sz="0" w:space="0" w:color="auto"/>
        <w:left w:val="none" w:sz="0" w:space="0" w:color="auto"/>
        <w:bottom w:val="none" w:sz="0" w:space="0" w:color="auto"/>
        <w:right w:val="none" w:sz="0" w:space="0" w:color="auto"/>
      </w:divBdr>
    </w:div>
    <w:div w:id="21158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t.dk/da/udgivelser/2025/Afgraensning-af-sundhedsopgaver-hvor-ansvaret-flyttes-fra-kommuner-til-regioner-fra-20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CMMetadataExtractionStatus xmlns="http://schemas.microsoft.com/sharepoint/v3">CCMPageCount:InProgress;CCMCommentCount:InProgress</CCMMetadataExtractionStatus>
    <LocalAttachment xmlns="http://schemas.microsoft.com/sharepoint/v3">false</LocalAttachment>
    <RegistrationDate xmlns="http://schemas.microsoft.com/sharepoint/v3" xsi:nil="true"/>
    <CaseRecordNumber xmlns="http://schemas.microsoft.com/sharepoint/v3">0</CaseRecordNumber>
    <Related xmlns="http://schemas.microsoft.com/sharepoint/v3">false</Related>
    <Finalized xmlns="http://schemas.microsoft.com/sharepoint/v3">false</Finalized>
    <WasEncrypted xmlns="http://schemas.microsoft.com/sharepoint/v3">false</WasEncrypted>
    <WasSigned xmlns="http://schemas.microsoft.com/sharepoint/v3">false</WasSigned>
    <CCMTemplateID xmlns="http://schemas.microsoft.com/sharepoint/v3">0</CCMTemplateID>
    <CaseID xmlns="http://schemas.microsoft.com/sharepoint/v3">SAG-2025-00616</CaseID>
    <CCMPreviewAnnotationsTasks xmlns="http://schemas.microsoft.com/sharepoint/v3">0</CCMPreviewAnnotationsTasks>
    <CCMVisualId xmlns="http://schemas.microsoft.com/sharepoint/v3">SAG-2025-00616</CCMVisualId>
    <CCMSystemID xmlns="http://schemas.microsoft.com/sharepoint/v3">ca7dc1c5-fc98-48bd-8345-b1ffede9fa82</CCMSystemID>
    <CCMPageCount xmlns="http://schemas.microsoft.com/sharepoint/v3">7</CCMPageCount>
    <DocID xmlns="http://schemas.microsoft.com/sharepoint/v3">3623352</DocID>
    <MailHasAttachments xmlns="http://schemas.microsoft.com/sharepoint/v3">false</MailHasAttachments>
    <CCMCommentCount xmlns="http://schemas.microsoft.com/sharepoint/v3">0</CCMCommentCount>
    <CCMConversation xmlns="http://schemas.microsoft.com/sharepoint/v3" xsi:nil="true"/>
    <CCMAgendaStatus xmlns="B750DF8D-0151-448B-AD14-AB16A42805B0" xsi:nil="true"/>
    <CCMMeetingCaseId xmlns="B750DF8D-0151-448B-AD14-AB16A42805B0" xsi:nil="true"/>
    <CCMAgendaItemId xmlns="B750DF8D-0151-448B-AD14-AB16A42805B0" xsi:nil="true"/>
    <CCMAgendaDocumentStatus xmlns="B750DF8D-0151-448B-AD14-AB16A42805B0" xsi:nil="true"/>
    <AgendaStatusIcon xmlns="B750DF8D-0151-448B-AD14-AB16A42805B0" xsi:nil="true"/>
    <CCMMeetingCaseLink xmlns="B750DF8D-0151-448B-AD14-AB16A42805B0">
      <Url xsi:nil="true"/>
      <Description xsi:nil="true"/>
    </CCMMeetingCaseLink>
    <CCMMeetingCaseInstanceId xmlns="B750DF8D-0151-448B-AD14-AB16A42805B0" xsi:nil="true"/>
    <Classification xmlns="b750df8d-0151-448b-ad14-ab16a42805b0" xsi:nil="true"/>
    <DocumentDescription xmlns="B750DF8D-0151-448B-AD14-AB16A42805B0" xsi:nil="true"/>
    <Sender xmlns="b750df8d-0151-448b-ad14-ab16a42805b0" xsi:nil="true"/>
    <Dokumenttype xmlns="B750DF8D-0151-448B-AD14-AB16A42805B0">Notat</Dokumenttype>
    <Recipient xmlns="b750df8d-0151-448b-ad14-ab16a42805b0"/>
    <CCMDocumentReadIndicator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9594579499DE044B26E1FA279A64557" ma:contentTypeVersion="3" ma:contentTypeDescription="GetOrganized dokument" ma:contentTypeScope="" ma:versionID="de5fa3ae3b9325ed5ee6a92d0031b989">
  <xsd:schema xmlns:xsd="http://www.w3.org/2001/XMLSchema" xmlns:xs="http://www.w3.org/2001/XMLSchema" xmlns:p="http://schemas.microsoft.com/office/2006/metadata/properties" xmlns:ns1="http://schemas.microsoft.com/sharepoint/v3" xmlns:ns2="B750DF8D-0151-448B-AD14-AB16A42805B0" xmlns:ns3="b750df8d-0151-448b-ad14-ab16a42805b0" targetNamespace="http://schemas.microsoft.com/office/2006/metadata/properties" ma:root="true" ma:fieldsID="4ecc24cffce3f4ec3592781d21c01e02" ns1:_="" ns2:_="" ns3:_="">
    <xsd:import namespace="http://schemas.microsoft.com/sharepoint/v3"/>
    <xsd:import namespace="B750DF8D-0151-448B-AD14-AB16A42805B0"/>
    <xsd:import namespace="b750df8d-0151-448b-ad14-ab16a42805b0"/>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1:CCMDocumentReadIndicator" minOccurs="0"/>
                <xsd:element ref="ns3:Classification" minOccurs="0"/>
                <xsd:element ref="ns3:Recipient" minOccurs="0"/>
                <xsd:element ref="ns3: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DocumentReadIndicator" ma:index="43" nillable="true" ma:displayName="Indikator for læst dokument" ma:internalName="CCMDocumentReadIndic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0DF8D-0151-448B-AD14-AB16A42805B0"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750df8d-0151-448b-ad14-ab16a42805b0" elementFormDefault="qualified">
    <xsd:import namespace="http://schemas.microsoft.com/office/2006/documentManagement/types"/>
    <xsd:import namespace="http://schemas.microsoft.com/office/infopath/2007/PartnerControls"/>
    <xsd:element name="Classification" ma:index="44" nillable="true" ma:displayName="Klassifikation" ma:format="Dropdown" ma:internalName="Classification">
      <xsd:simpleType>
        <xsd:restriction base="dms:Choice">
          <xsd:enumeration value="Åben"/>
          <xsd:enumeration value="Lukket"/>
        </xsd:restriction>
      </xsd:simpleType>
    </xsd:element>
    <xsd:element name="Recipient" ma:index="45" nillable="true" ma:displayName="Modtager" ma:list="{26d4b0ae-c4a1-49dd-bcb1-7a3260ea9169}" ma:internalName="Recipient" ma:showField="Email">
      <xsd:complexType>
        <xsd:complexContent>
          <xsd:extension base="dms:MultiChoiceLookup">
            <xsd:sequence>
              <xsd:element name="Value" type="dms:Lookup" maxOccurs="unbounded" minOccurs="0" nillable="true"/>
            </xsd:sequence>
          </xsd:extension>
        </xsd:complexContent>
      </xsd:complexType>
    </xsd:element>
    <xsd:element name="Sender" ma:index="46" nillable="true" ma:displayName="Afsender" ma:list="{26d4b0ae-c4a1-49dd-bcb1-7a3260ea9169}" ma:internalName="Sender" ma:showField="Email">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37E4B-101E-4E71-B978-9E0B1A6BA248}">
  <ds:schemaRefs>
    <ds:schemaRef ds:uri="http://schemas.microsoft.com/sharepoint/v3/contenttype/forms"/>
  </ds:schemaRefs>
</ds:datastoreItem>
</file>

<file path=customXml/itemProps2.xml><?xml version="1.0" encoding="utf-8"?>
<ds:datastoreItem xmlns:ds="http://schemas.openxmlformats.org/officeDocument/2006/customXml" ds:itemID="{8CA0D7DE-3ADF-47FA-A8A2-F91DC29485C1}">
  <ds:schemaRefs>
    <ds:schemaRef ds:uri="http://schemas.microsoft.com/office/2006/metadata/properties"/>
    <ds:schemaRef ds:uri="http://schemas.microsoft.com/office/infopath/2007/PartnerControls"/>
    <ds:schemaRef ds:uri="http://schemas.microsoft.com/sharepoint/v3"/>
    <ds:schemaRef ds:uri="B750DF8D-0151-448B-AD14-AB16A42805B0"/>
    <ds:schemaRef ds:uri="b750df8d-0151-448b-ad14-ab16a42805b0"/>
  </ds:schemaRefs>
</ds:datastoreItem>
</file>

<file path=customXml/itemProps3.xml><?xml version="1.0" encoding="utf-8"?>
<ds:datastoreItem xmlns:ds="http://schemas.openxmlformats.org/officeDocument/2006/customXml" ds:itemID="{FD869B42-4BC6-4CF1-90C4-85C214BEA506}">
  <ds:schemaRefs>
    <ds:schemaRef ds:uri="http://schemas.openxmlformats.org/officeDocument/2006/bibliography"/>
  </ds:schemaRefs>
</ds:datastoreItem>
</file>

<file path=customXml/itemProps4.xml><?xml version="1.0" encoding="utf-8"?>
<ds:datastoreItem xmlns:ds="http://schemas.openxmlformats.org/officeDocument/2006/customXml" ds:itemID="{6A95F9A9-F1E7-4EDF-930D-4278D898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0DF8D-0151-448B-AD14-AB16A42805B0"/>
    <ds:schemaRef ds:uri="b750df8d-0151-448b-ad14-ab16a4280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9161eb-1619-4163-9c7e-1c13824d69e5}" enabled="0" method="" siteId="{d99161eb-1619-4163-9c7e-1c13824d69e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2228</Words>
  <Characters>13594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Version 8.0_Udkast til skabelon_KL</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8.0_Udkast til skabelon_KL</dc:title>
  <dc:subject/>
  <dc:creator>Anne</dc:creator>
  <cp:keywords/>
  <dc:description/>
  <cp:lastModifiedBy>Victor Tranberg Mikkelsen</cp:lastModifiedBy>
  <cp:revision>4</cp:revision>
  <cp:lastPrinted>2025-11-11T14:41:00Z</cp:lastPrinted>
  <dcterms:created xsi:type="dcterms:W3CDTF">2025-11-11T14:38:00Z</dcterms:created>
  <dcterms:modified xsi:type="dcterms:W3CDTF">2025-11-11T14:44:00Z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0x010100AC085CFC53BC46CEA2EADE194AD9D4820059594579499DE044B26E1FA279A64557</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xd_Signature">
    <vt:bool>false</vt:bool>
  </property>
  <property fmtid="{D5CDD505-2E9C-101B-9397-08002B2CF9AE}" pid="8" name="CCMPostListPublishStatus">
    <vt:lpwstr>Afventer godkendelse</vt:lpwstr>
  </property>
  <property fmtid="{D5CDD505-2E9C-101B-9397-08002B2CF9AE}" pid="9" name="CCMMustBeOnPostList">
    <vt:bool>true</vt:bool>
  </property>
  <property fmtid="{D5CDD505-2E9C-101B-9397-08002B2CF9AE}" pid="10" name="CCMSystem">
    <vt:lpwstr> </vt:lpwstr>
  </property>
  <property fmtid="{D5CDD505-2E9C-101B-9397-08002B2CF9AE}" pid="11" name="CCMCommunication">
    <vt:lpwstr/>
  </property>
  <property fmtid="{D5CDD505-2E9C-101B-9397-08002B2CF9AE}" pid="12" name="CCMEventContext">
    <vt:lpwstr>85eecc79-564f-4ef8-b001-89f9806cc79b</vt:lpwstr>
  </property>
  <property fmtid="{D5CDD505-2E9C-101B-9397-08002B2CF9AE}" pid="13" name="CCMIsChildDocumentSet">
    <vt:bool>false</vt:bool>
  </property>
</Properties>
</file>